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after="240"/>
        <w:jc w:val="center"/>
        <w:outlineLvl w:val="2"/>
        <w:rPr>
          <w:rFonts w:hint="eastAsia" w:ascii="仿宋" w:hAnsi="仿宋" w:eastAsia="仿宋" w:cs="宋体"/>
          <w:b/>
          <w:bCs/>
          <w:kern w:val="0"/>
          <w:sz w:val="36"/>
          <w:szCs w:val="36"/>
        </w:rPr>
      </w:pPr>
      <w:r>
        <w:rPr>
          <w:rFonts w:hint="default" w:ascii="仿宋" w:hAnsi="仿宋" w:eastAsia="仿宋" w:cs="宋体"/>
          <w:b/>
          <w:bCs/>
          <w:kern w:val="0"/>
          <w:sz w:val="36"/>
          <w:szCs w:val="36"/>
          <w:lang w:val="en-US" w:eastAsia="zh-CN"/>
        </w:rPr>
        <w:t>“</w:t>
      </w:r>
      <w:r>
        <w:rPr>
          <w:rFonts w:hint="eastAsia" w:ascii="仿宋" w:hAnsi="仿宋" w:eastAsia="仿宋" w:cs="宋体"/>
          <w:b/>
          <w:bCs/>
          <w:kern w:val="0"/>
          <w:sz w:val="36"/>
          <w:szCs w:val="36"/>
          <w:lang w:val="en-US" w:eastAsia="zh-CN"/>
        </w:rPr>
        <w:t>新时代代理记账业务与管理创新：政策解读与合规管理</w:t>
      </w:r>
      <w:r>
        <w:rPr>
          <w:rFonts w:hint="default" w:ascii="仿宋" w:hAnsi="仿宋" w:eastAsia="仿宋" w:cs="宋体"/>
          <w:b/>
          <w:bCs/>
          <w:kern w:val="0"/>
          <w:sz w:val="36"/>
          <w:szCs w:val="36"/>
          <w:lang w:val="en-US" w:eastAsia="zh-CN"/>
        </w:rPr>
        <w:t>”</w:t>
      </w:r>
      <w:r>
        <w:rPr>
          <w:rFonts w:hint="eastAsia" w:ascii="仿宋" w:hAnsi="仿宋" w:eastAsia="仿宋" w:cs="宋体"/>
          <w:b/>
          <w:bCs/>
          <w:kern w:val="0"/>
          <w:sz w:val="36"/>
          <w:szCs w:val="36"/>
        </w:rPr>
        <w:t xml:space="preserve">高级研修班 </w:t>
      </w:r>
    </w:p>
    <w:p>
      <w:pPr>
        <w:widowControl/>
        <w:spacing w:before="240" w:after="240"/>
        <w:jc w:val="center"/>
        <w:outlineLvl w:val="2"/>
        <w:rPr>
          <w:rFonts w:ascii="仿宋" w:hAnsi="仿宋" w:eastAsia="仿宋" w:cs="宋体"/>
          <w:b/>
          <w:bCs/>
          <w:kern w:val="0"/>
          <w:sz w:val="36"/>
          <w:szCs w:val="36"/>
        </w:rPr>
      </w:pPr>
      <w:r>
        <w:rPr>
          <w:rFonts w:hint="eastAsia" w:ascii="仿宋" w:hAnsi="仿宋" w:eastAsia="仿宋" w:cs="宋体"/>
          <w:b/>
          <w:bCs/>
          <w:kern w:val="0"/>
          <w:sz w:val="36"/>
          <w:szCs w:val="36"/>
        </w:rPr>
        <w:t>招生简章</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b/>
          <w:sz w:val="32"/>
          <w:szCs w:val="32"/>
          <w:highlight w:val="none"/>
        </w:rPr>
        <w:t>培训背景</w:t>
      </w:r>
    </w:p>
    <w:p>
      <w:pPr>
        <w:adjustRightInd w:val="0"/>
        <w:snapToGrid w:val="0"/>
        <w:spacing w:line="360" w:lineRule="auto"/>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随着经济社会发展的深入，代理记账行业在我国的作用日益凸显。为适应新时代经济发展需求，财政部门不断加强监管，推动代理记账行业规范化、专业化发展。随着《关于进一步加强财会监督工作的意见》《关于新时代加强和改进代理记账工作的意见》《代理记账基础工作规范》等文件的陆续发布，明确了加强行业治理的总体要求和具体措施，强调了推动代理记账机构规范执业、开展专项整治、提升监督检查实效和优化政务服务模式等四个方面的重要举措，旨在围绕“牢基础、强监管、促发展”三个方面，不断创新方式方法，健全完善长效机制，持续推动代理记账行业健康有序发展。 </w:t>
      </w:r>
    </w:p>
    <w:p>
      <w:pPr>
        <w:adjustRightInd/>
        <w:snapToGrid/>
        <w:spacing w:line="240" w:lineRule="auto"/>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数字经济时代</w:t>
      </w:r>
      <w:r>
        <w:rPr>
          <w:rFonts w:hint="eastAsia" w:ascii="仿宋" w:hAnsi="仿宋" w:eastAsia="仿宋" w:cs="仿宋"/>
          <w:sz w:val="32"/>
          <w:szCs w:val="32"/>
          <w:highlight w:val="none"/>
          <w:lang w:val="en-US" w:eastAsia="zh-CN"/>
        </w:rPr>
        <w:t>驱动</w:t>
      </w:r>
      <w:r>
        <w:rPr>
          <w:rFonts w:hint="eastAsia" w:ascii="仿宋" w:hAnsi="仿宋" w:eastAsia="仿宋" w:cs="仿宋"/>
          <w:b w:val="0"/>
          <w:bCs w:val="0"/>
          <w:sz w:val="32"/>
          <w:szCs w:val="32"/>
          <w:highlight w:val="none"/>
          <w:lang w:val="en-US" w:eastAsia="zh-CN"/>
        </w:rPr>
        <w:t>代理记账业务和管理不断创新和发展。以数字化和自动化技术应用为基础，极大提高了代理记账的业务效率，不断扩大代理记账服务的边界，推动代理记账机构从单纯的记账服务向客户定制化服务、数据分析和经营预测等综合服务发展，推动了整个行业的不断进步。然而，与此同时当前代理记账行业发展和实务工作面临着一系列如何与时俱进、良序发展的矛盾问题，主要表现在：代账管理模式与政策法规变化进度不合拍、在财会监督要求日趋严格的环境下，代账行业执业依然存在大量不规范现象、新业务拓展的所迫切需求的市场营销策略滞后、数字化、新技术工具赋能与从业人员技能和传统手段不匹配等。为解决上述代理记账行业和实务工作中的矛盾问题，北京国家会计学院特别推出“新时代代理记账业务与管理创新：政策解读与合规管理”高级研修班，系统讲解财政部新近发布的代理记账管理办法政策、财会监督背景下的代理记账机构合规管理、新业务拓展与市场营销以及高层管理者的管理新思维和数字化转型等代理记账机构和从业人员重点关注内容，帮助学员把握行业发展动态，有效解决行业良莠不齐、低价竞争的问题，提升新时代代理记账机构的业务创新及市场拓展能力，了解数智化技术赋能的工具平台价值，引领代理记账机构在数字经济时代的可持续发展。</w:t>
      </w:r>
    </w:p>
    <w:p>
      <w:pPr>
        <w:numPr>
          <w:ilvl w:val="0"/>
          <w:numId w:val="1"/>
        </w:numPr>
        <w:adjustRightInd w:val="0"/>
        <w:snapToGrid w:val="0"/>
        <w:spacing w:before="156" w:beforeLines="50" w:line="360" w:lineRule="auto"/>
        <w:ind w:left="0" w:leftChars="0" w:firstLine="0" w:firstLineChars="0"/>
        <w:rPr>
          <w:rFonts w:hint="eastAsia" w:ascii="仿宋" w:hAnsi="仿宋" w:eastAsia="仿宋" w:cs="仿宋"/>
          <w:b/>
          <w:sz w:val="32"/>
          <w:szCs w:val="32"/>
          <w:highlight w:val="none"/>
        </w:rPr>
      </w:pPr>
      <w:r>
        <w:rPr>
          <w:rFonts w:hint="eastAsia" w:ascii="仿宋" w:hAnsi="仿宋" w:eastAsia="仿宋" w:cs="仿宋"/>
          <w:b/>
          <w:sz w:val="32"/>
          <w:szCs w:val="32"/>
          <w:highlight w:val="none"/>
        </w:rPr>
        <w:t>培训收益</w:t>
      </w:r>
    </w:p>
    <w:p>
      <w:pPr>
        <w:numPr>
          <w:ilvl w:val="0"/>
          <w:numId w:val="0"/>
        </w:numPr>
        <w:adjustRightInd w:val="0"/>
        <w:snapToGrid w:val="0"/>
        <w:spacing w:before="156" w:beforeLines="50" w:line="360" w:lineRule="auto"/>
        <w:ind w:leftChars="0"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了解最新政策法规</w:t>
      </w:r>
      <w:r>
        <w:rPr>
          <w:rFonts w:hint="eastAsia" w:ascii="仿宋" w:hAnsi="仿宋" w:eastAsia="仿宋" w:cs="仿宋"/>
          <w:b w:val="0"/>
          <w:bCs/>
          <w:sz w:val="32"/>
          <w:szCs w:val="32"/>
          <w:highlight w:val="none"/>
          <w:lang w:eastAsia="zh-CN"/>
        </w:rPr>
        <w:t>】了解最新发布的代理记账管理办法及其实施细则，确保代理记账工作的合规性和法律风险的可控性。</w:t>
      </w:r>
    </w:p>
    <w:p>
      <w:pPr>
        <w:numPr>
          <w:ilvl w:val="0"/>
          <w:numId w:val="0"/>
        </w:numPr>
        <w:adjustRightInd w:val="0"/>
        <w:snapToGrid w:val="0"/>
        <w:spacing w:before="156" w:beforeLines="50" w:line="360" w:lineRule="auto"/>
        <w:ind w:leftChars="0"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提升合规管理能力</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掌握财会监督下的合规管理要求，建立和优化内部控制机制，提升财务报表的准确性和可靠性。</w:t>
      </w:r>
    </w:p>
    <w:p>
      <w:pPr>
        <w:numPr>
          <w:ilvl w:val="0"/>
          <w:numId w:val="0"/>
        </w:numPr>
        <w:adjustRightInd w:val="0"/>
        <w:snapToGrid w:val="0"/>
        <w:spacing w:before="156" w:beforeLines="50" w:line="360" w:lineRule="auto"/>
        <w:ind w:leftChars="0"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创</w:t>
      </w:r>
      <w:r>
        <w:rPr>
          <w:rFonts w:hint="eastAsia" w:ascii="仿宋" w:hAnsi="仿宋" w:eastAsia="仿宋" w:cs="仿宋"/>
          <w:b w:val="0"/>
          <w:bCs/>
          <w:sz w:val="32"/>
          <w:szCs w:val="32"/>
          <w:highlight w:val="none"/>
        </w:rPr>
        <w:t>新业务</w:t>
      </w:r>
      <w:r>
        <w:rPr>
          <w:rFonts w:hint="eastAsia" w:ascii="仿宋" w:hAnsi="仿宋" w:eastAsia="仿宋" w:cs="仿宋"/>
          <w:b w:val="0"/>
          <w:bCs/>
          <w:sz w:val="32"/>
          <w:szCs w:val="32"/>
          <w:highlight w:val="none"/>
          <w:lang w:val="en-US" w:eastAsia="zh-CN"/>
        </w:rPr>
        <w:t>拓展</w:t>
      </w:r>
      <w:r>
        <w:rPr>
          <w:rFonts w:hint="eastAsia" w:ascii="仿宋" w:hAnsi="仿宋" w:eastAsia="仿宋" w:cs="仿宋"/>
          <w:b w:val="0"/>
          <w:bCs/>
          <w:sz w:val="32"/>
          <w:szCs w:val="32"/>
          <w:highlight w:val="none"/>
        </w:rPr>
        <w:t>市场</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探索和开发新的服务领域，提升市场竞争力和客户满意度。</w:t>
      </w:r>
    </w:p>
    <w:p>
      <w:pPr>
        <w:numPr>
          <w:ilvl w:val="0"/>
          <w:numId w:val="0"/>
        </w:numPr>
        <w:adjustRightInd w:val="0"/>
        <w:snapToGrid w:val="0"/>
        <w:spacing w:before="156" w:beforeLines="50" w:line="360" w:lineRule="auto"/>
        <w:ind w:leftChars="0" w:firstLine="640" w:firstLineChars="20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lang w:val="en-US" w:eastAsia="zh-CN"/>
        </w:rPr>
        <w:t>培育</w:t>
      </w:r>
      <w:r>
        <w:rPr>
          <w:rFonts w:hint="eastAsia" w:ascii="仿宋" w:hAnsi="仿宋" w:eastAsia="仿宋" w:cs="仿宋"/>
          <w:b w:val="0"/>
          <w:bCs/>
          <w:sz w:val="32"/>
          <w:szCs w:val="32"/>
          <w:highlight w:val="none"/>
        </w:rPr>
        <w:t>新思维</w:t>
      </w:r>
      <w:r>
        <w:rPr>
          <w:rFonts w:hint="eastAsia" w:ascii="仿宋" w:hAnsi="仿宋" w:eastAsia="仿宋" w:cs="仿宋"/>
          <w:b w:val="0"/>
          <w:bCs/>
          <w:sz w:val="32"/>
          <w:szCs w:val="32"/>
          <w:highlight w:val="none"/>
          <w:lang w:val="en-US" w:eastAsia="zh-CN"/>
        </w:rPr>
        <w:t>提升领导力</w:t>
      </w:r>
      <w:r>
        <w:rPr>
          <w:rFonts w:hint="eastAsia" w:ascii="仿宋" w:hAnsi="仿宋" w:eastAsia="仿宋" w:cs="仿宋"/>
          <w:b w:val="0"/>
          <w:bCs/>
          <w:sz w:val="32"/>
          <w:szCs w:val="32"/>
          <w:highlight w:val="none"/>
          <w:lang w:eastAsia="zh-CN"/>
        </w:rPr>
        <w:t>】</w:t>
      </w:r>
      <w:r>
        <w:rPr>
          <w:rFonts w:hint="eastAsia" w:ascii="仿宋" w:hAnsi="仿宋" w:eastAsia="仿宋" w:cs="仿宋"/>
          <w:b w:val="0"/>
          <w:bCs/>
          <w:sz w:val="32"/>
          <w:szCs w:val="32"/>
          <w:highlight w:val="none"/>
        </w:rPr>
        <w:t>培养</w:t>
      </w:r>
      <w:r>
        <w:rPr>
          <w:rFonts w:hint="eastAsia" w:ascii="仿宋" w:hAnsi="仿宋" w:eastAsia="仿宋" w:cs="仿宋"/>
          <w:b w:val="0"/>
          <w:bCs/>
          <w:sz w:val="32"/>
          <w:szCs w:val="32"/>
          <w:highlight w:val="none"/>
          <w:lang w:val="en-US" w:eastAsia="zh-CN"/>
        </w:rPr>
        <w:t>高层</w:t>
      </w:r>
      <w:r>
        <w:rPr>
          <w:rFonts w:hint="eastAsia" w:ascii="仿宋" w:hAnsi="仿宋" w:eastAsia="仿宋" w:cs="仿宋"/>
          <w:b w:val="0"/>
          <w:bCs/>
          <w:sz w:val="32"/>
          <w:szCs w:val="32"/>
          <w:highlight w:val="none"/>
        </w:rPr>
        <w:t>管理者的创新思维和领导能力，帮助</w:t>
      </w:r>
      <w:r>
        <w:rPr>
          <w:rFonts w:hint="eastAsia" w:ascii="仿宋" w:hAnsi="仿宋" w:eastAsia="仿宋" w:cs="仿宋"/>
          <w:b w:val="0"/>
          <w:bCs/>
          <w:sz w:val="32"/>
          <w:szCs w:val="32"/>
          <w:highlight w:val="none"/>
          <w:lang w:eastAsia="zh-CN"/>
        </w:rPr>
        <w:t>其</w:t>
      </w:r>
      <w:r>
        <w:rPr>
          <w:rFonts w:hint="eastAsia" w:ascii="仿宋" w:hAnsi="仿宋" w:eastAsia="仿宋" w:cs="仿宋"/>
          <w:b w:val="0"/>
          <w:bCs/>
          <w:sz w:val="32"/>
          <w:szCs w:val="32"/>
          <w:highlight w:val="none"/>
        </w:rPr>
        <w:t>有效应对业务增长和管理挑战，提升管理效能和团队</w:t>
      </w:r>
      <w:r>
        <w:rPr>
          <w:rFonts w:hint="eastAsia" w:ascii="仿宋" w:hAnsi="仿宋" w:eastAsia="仿宋" w:cs="仿宋"/>
          <w:b w:val="0"/>
          <w:bCs/>
          <w:sz w:val="32"/>
          <w:szCs w:val="32"/>
          <w:highlight w:val="none"/>
          <w:lang w:val="en-US" w:eastAsia="zh-CN"/>
        </w:rPr>
        <w:t>业务能</w:t>
      </w:r>
      <w:r>
        <w:rPr>
          <w:rFonts w:hint="eastAsia" w:ascii="仿宋" w:hAnsi="仿宋" w:eastAsia="仿宋" w:cs="仿宋"/>
          <w:b w:val="0"/>
          <w:bCs/>
          <w:sz w:val="32"/>
          <w:szCs w:val="32"/>
          <w:highlight w:val="none"/>
        </w:rPr>
        <w:t>力。</w:t>
      </w:r>
    </w:p>
    <w:p>
      <w:pPr>
        <w:numPr>
          <w:ilvl w:val="0"/>
          <w:numId w:val="0"/>
        </w:numPr>
        <w:adjustRightInd w:val="0"/>
        <w:snapToGrid w:val="0"/>
        <w:spacing w:before="156" w:beforeLines="50" w:line="360" w:lineRule="auto"/>
        <w:ind w:leftChars="0" w:firstLine="640" w:firstLineChars="200"/>
        <w:rPr>
          <w:rFonts w:hint="eastAsia" w:ascii="仿宋" w:hAnsi="仿宋" w:cs="仿宋" w:eastAsiaTheme="minorEastAsia"/>
          <w:b w:val="0"/>
          <w:bCs/>
          <w:sz w:val="32"/>
          <w:szCs w:val="32"/>
          <w:highlight w:val="none"/>
          <w:lang w:val="en-US" w:eastAsia="zh-CN"/>
        </w:rPr>
      </w:pPr>
      <w:r>
        <w:rPr>
          <w:rFonts w:hint="eastAsia" w:ascii="仿宋" w:hAnsi="仿宋" w:eastAsia="仿宋" w:cs="仿宋"/>
          <w:b w:val="0"/>
          <w:bCs w:val="0"/>
          <w:sz w:val="32"/>
          <w:szCs w:val="32"/>
          <w:highlight w:val="none"/>
          <w:lang w:val="en-US" w:eastAsia="zh-CN"/>
        </w:rPr>
        <w:t>【体验数智赋能价值】了解</w:t>
      </w:r>
      <w:r>
        <w:rPr>
          <w:rFonts w:hint="eastAsia" w:ascii="仿宋" w:hAnsi="仿宋" w:eastAsia="仿宋" w:cs="仿宋"/>
          <w:bCs/>
          <w:sz w:val="32"/>
          <w:szCs w:val="32"/>
          <w:highlight w:val="none"/>
          <w:lang w:val="en-US" w:eastAsia="zh-CN"/>
        </w:rPr>
        <w:t>最新的财税数字化技术和服务，学习运用技术赋能实现数字化转型，拓展服务客户的领域</w:t>
      </w:r>
      <w:r>
        <w:rPr>
          <w:rFonts w:hint="eastAsia"/>
          <w:lang w:eastAsia="zh-CN"/>
        </w:rPr>
        <w:t>。</w:t>
      </w:r>
    </w:p>
    <w:p>
      <w:pPr>
        <w:numPr>
          <w:ilvl w:val="0"/>
          <w:numId w:val="1"/>
        </w:numPr>
        <w:adjustRightInd w:val="0"/>
        <w:snapToGrid w:val="0"/>
        <w:spacing w:before="156" w:beforeLines="50" w:line="360" w:lineRule="auto"/>
        <w:ind w:left="0" w:leftChars="0" w:firstLine="0" w:firstLineChars="0"/>
        <w:rPr>
          <w:rFonts w:hint="eastAsia" w:ascii="仿宋" w:hAnsi="仿宋" w:eastAsia="仿宋" w:cs="仿宋"/>
          <w:b/>
          <w:sz w:val="32"/>
          <w:szCs w:val="32"/>
          <w:highlight w:val="none"/>
        </w:rPr>
      </w:pPr>
      <w:r>
        <w:rPr>
          <w:rFonts w:hint="eastAsia" w:ascii="仿宋" w:hAnsi="仿宋" w:eastAsia="仿宋" w:cs="仿宋"/>
          <w:b/>
          <w:sz w:val="32"/>
          <w:szCs w:val="32"/>
          <w:highlight w:val="none"/>
        </w:rPr>
        <w:t>培训对象</w:t>
      </w:r>
    </w:p>
    <w:p>
      <w:pPr>
        <w:adjustRightInd w:val="0"/>
        <w:snapToGrid w:val="0"/>
        <w:spacing w:before="156" w:beforeLines="50" w:line="360" w:lineRule="auto"/>
        <w:rPr>
          <w:rFonts w:hint="eastAsia" w:ascii="仿宋" w:hAnsi="仿宋" w:eastAsia="仿宋" w:cs="仿宋"/>
          <w:b/>
          <w:sz w:val="32"/>
          <w:szCs w:val="32"/>
          <w:highlight w:val="none"/>
        </w:rPr>
      </w:pPr>
      <w:r>
        <w:rPr>
          <w:rFonts w:hint="eastAsia" w:ascii="仿宋" w:hAnsi="仿宋" w:eastAsia="仿宋" w:cs="仿宋"/>
          <w:sz w:val="32"/>
          <w:szCs w:val="32"/>
          <w:lang w:val="en-US" w:eastAsia="zh-CN"/>
        </w:rPr>
        <w:t>（一）</w:t>
      </w:r>
      <w:r>
        <w:rPr>
          <w:rFonts w:hint="eastAsia" w:ascii="仿宋" w:hAnsi="仿宋" w:eastAsia="仿宋" w:cs="仿宋"/>
          <w:sz w:val="32"/>
          <w:szCs w:val="32"/>
        </w:rPr>
        <w:t>代理记账</w:t>
      </w:r>
      <w:r>
        <w:rPr>
          <w:rFonts w:hint="eastAsia" w:ascii="仿宋" w:hAnsi="仿宋" w:eastAsia="仿宋" w:cs="仿宋"/>
          <w:sz w:val="32"/>
          <w:szCs w:val="32"/>
          <w:lang w:val="en-US" w:eastAsia="zh-CN"/>
        </w:rPr>
        <w:t>行业和</w:t>
      </w:r>
      <w:r>
        <w:rPr>
          <w:rFonts w:hint="eastAsia" w:ascii="仿宋" w:hAnsi="仿宋" w:eastAsia="仿宋" w:cs="仿宋"/>
          <w:sz w:val="32"/>
          <w:szCs w:val="32"/>
        </w:rPr>
        <w:t>机构管理者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包括代理记账行业协会负责人；代理记账</w:t>
      </w:r>
      <w:r>
        <w:rPr>
          <w:rFonts w:hint="eastAsia" w:ascii="仿宋" w:hAnsi="仿宋" w:eastAsia="仿宋" w:cs="仿宋"/>
          <w:sz w:val="32"/>
          <w:szCs w:val="32"/>
        </w:rPr>
        <w:t>公司负责人、业务部门负责人、运营管理人员等需要全面理解和管理代理记账业务的管理层</w:t>
      </w:r>
      <w:r>
        <w:rPr>
          <w:rFonts w:hint="eastAsia" w:ascii="仿宋" w:hAnsi="仿宋" w:eastAsia="仿宋" w:cs="仿宋"/>
          <w:sz w:val="32"/>
          <w:szCs w:val="32"/>
          <w:lang w:val="en-US" w:eastAsia="zh-CN"/>
        </w:rPr>
        <w:t>等</w:t>
      </w:r>
      <w:r>
        <w:rPr>
          <w:rFonts w:hint="eastAsia" w:ascii="仿宋" w:hAnsi="仿宋" w:eastAsia="仿宋" w:cs="仿宋"/>
          <w:sz w:val="32"/>
          <w:szCs w:val="32"/>
        </w:rPr>
        <w:t>。</w:t>
      </w:r>
    </w:p>
    <w:p>
      <w:pPr>
        <w:adjustRightInd w:val="0"/>
        <w:snapToGrid w:val="0"/>
        <w:spacing w:before="156" w:beforeLines="50"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（二）其他对代理记账有兴趣的人员。</w:t>
      </w:r>
    </w:p>
    <w:p>
      <w:pPr>
        <w:adjustRightInd w:val="0"/>
        <w:snapToGrid w:val="0"/>
        <w:spacing w:before="156" w:beforeLines="50" w:line="360" w:lineRule="auto"/>
        <w:rPr>
          <w:rFonts w:hint="eastAsia" w:ascii="仿宋" w:hAnsi="仿宋" w:eastAsia="仿宋" w:cs="仿宋"/>
          <w:b/>
          <w:sz w:val="32"/>
          <w:szCs w:val="32"/>
          <w:highlight w:val="none"/>
        </w:rPr>
      </w:pPr>
      <w:r>
        <w:rPr>
          <w:rFonts w:hint="eastAsia" w:ascii="仿宋" w:hAnsi="仿宋" w:eastAsia="仿宋" w:cs="仿宋"/>
          <w:b/>
          <w:sz w:val="32"/>
          <w:szCs w:val="32"/>
          <w:highlight w:val="none"/>
        </w:rPr>
        <w:t>四、培训内容</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模块一、</w:t>
      </w:r>
      <w:r>
        <w:rPr>
          <w:rFonts w:hint="eastAsia" w:ascii="仿宋" w:hAnsi="仿宋" w:eastAsia="仿宋" w:cs="仿宋"/>
          <w:b/>
          <w:bCs/>
          <w:sz w:val="32"/>
          <w:szCs w:val="32"/>
        </w:rPr>
        <w:t>政策</w:t>
      </w:r>
      <w:r>
        <w:rPr>
          <w:rFonts w:hint="eastAsia" w:ascii="仿宋" w:hAnsi="仿宋" w:eastAsia="仿宋" w:cs="仿宋"/>
          <w:b/>
          <w:bCs/>
          <w:sz w:val="32"/>
          <w:szCs w:val="32"/>
          <w:lang w:val="en-US" w:eastAsia="zh-CN"/>
        </w:rPr>
        <w:t>深入</w:t>
      </w:r>
      <w:r>
        <w:rPr>
          <w:rFonts w:hint="eastAsia" w:ascii="仿宋" w:hAnsi="仿宋" w:eastAsia="仿宋" w:cs="仿宋"/>
          <w:b/>
          <w:bCs/>
          <w:sz w:val="32"/>
          <w:szCs w:val="32"/>
        </w:rPr>
        <w:t>解读：</w:t>
      </w:r>
      <w:r>
        <w:rPr>
          <w:rFonts w:hint="eastAsia" w:ascii="仿宋" w:hAnsi="仿宋" w:eastAsia="仿宋" w:cs="仿宋"/>
          <w:b/>
          <w:bCs/>
          <w:sz w:val="32"/>
          <w:szCs w:val="32"/>
          <w:lang w:val="en-US" w:eastAsia="zh-CN"/>
        </w:rPr>
        <w:t>掌握最新要求与规范化管理</w:t>
      </w:r>
    </w:p>
    <w:p>
      <w:pPr>
        <w:adjustRightInd w:val="0"/>
        <w:snapToGrid w:val="0"/>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.新政策背景和动向分析</w:t>
      </w:r>
    </w:p>
    <w:p>
      <w:pPr>
        <w:adjustRightInd w:val="0"/>
        <w:snapToGrid w:val="0"/>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.主要政策条款和要求解读</w:t>
      </w:r>
    </w:p>
    <w:p>
      <w:pPr>
        <w:adjustRightInd w:val="0"/>
        <w:snapToGrid w:val="0"/>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.合规性评估和实施指导</w:t>
      </w:r>
    </w:p>
    <w:p>
      <w:pPr>
        <w:adjustRightInd w:val="0"/>
        <w:snapToGrid w:val="0"/>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.内部流程调整建议</w:t>
      </w:r>
    </w:p>
    <w:p>
      <w:pPr>
        <w:adjustRightInd w:val="0"/>
        <w:snapToGrid w:val="0"/>
        <w:spacing w:line="36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模块二、</w:t>
      </w:r>
      <w:r>
        <w:rPr>
          <w:rFonts w:hint="eastAsia" w:ascii="仿宋" w:hAnsi="仿宋" w:eastAsia="仿宋" w:cs="仿宋"/>
          <w:b/>
          <w:bCs/>
          <w:sz w:val="32"/>
          <w:szCs w:val="32"/>
        </w:rPr>
        <w:t>合规</w:t>
      </w:r>
      <w:r>
        <w:rPr>
          <w:rFonts w:hint="eastAsia" w:ascii="仿宋" w:hAnsi="仿宋" w:eastAsia="仿宋" w:cs="仿宋"/>
          <w:b/>
          <w:bCs/>
          <w:sz w:val="32"/>
          <w:szCs w:val="32"/>
          <w:lang w:val="en-US" w:eastAsia="zh-CN"/>
        </w:rPr>
        <w:t>管理建设</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加强</w:t>
      </w:r>
      <w:r>
        <w:rPr>
          <w:rFonts w:hint="eastAsia" w:ascii="仿宋" w:hAnsi="仿宋" w:eastAsia="仿宋" w:cs="仿宋"/>
          <w:b/>
          <w:bCs/>
          <w:sz w:val="32"/>
          <w:szCs w:val="32"/>
        </w:rPr>
        <w:t>财会</w:t>
      </w:r>
      <w:r>
        <w:rPr>
          <w:rFonts w:hint="eastAsia" w:ascii="仿宋" w:hAnsi="仿宋" w:eastAsia="仿宋" w:cs="仿宋"/>
          <w:b/>
          <w:bCs/>
          <w:sz w:val="32"/>
          <w:szCs w:val="32"/>
          <w:lang w:eastAsia="zh-CN"/>
        </w:rPr>
        <w:t>监督，</w:t>
      </w:r>
      <w:r>
        <w:rPr>
          <w:rFonts w:hint="eastAsia" w:ascii="仿宋" w:hAnsi="仿宋" w:eastAsia="仿宋" w:cs="仿宋"/>
          <w:b/>
          <w:bCs/>
          <w:sz w:val="32"/>
          <w:szCs w:val="32"/>
          <w:lang w:val="en-US" w:eastAsia="zh-CN"/>
        </w:rPr>
        <w:t>提高执业质量</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1.全国代理记账行业监管服务平台上线运行带来的挑战</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2.内部控制和合规管理系统设计</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3.审计和检查的应对策略</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4.财务数据完整性和真实性保障</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5.合规风险预防与管理方案</w:t>
      </w:r>
    </w:p>
    <w:p>
      <w:pPr>
        <w:adjustRightInd w:val="0"/>
        <w:snapToGrid w:val="0"/>
        <w:spacing w:line="360" w:lineRule="auto"/>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模块三、</w:t>
      </w:r>
      <w:r>
        <w:rPr>
          <w:rFonts w:hint="eastAsia" w:ascii="仿宋" w:hAnsi="仿宋" w:eastAsia="仿宋" w:cs="仿宋"/>
          <w:b/>
          <w:bCs/>
          <w:sz w:val="32"/>
          <w:szCs w:val="32"/>
          <w:lang w:val="en-US" w:eastAsia="zh-CN"/>
        </w:rPr>
        <w:t>会计信息质量提升</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财税重点难点问题</w:t>
      </w:r>
    </w:p>
    <w:p>
      <w:pPr>
        <w:numPr>
          <w:ilvl w:val="0"/>
          <w:numId w:val="2"/>
        </w:num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新《会计法》解读</w:t>
      </w:r>
    </w:p>
    <w:p>
      <w:pPr>
        <w:numPr>
          <w:ilvl w:val="0"/>
          <w:numId w:val="2"/>
        </w:numPr>
        <w:adjustRightInd w:val="0"/>
        <w:snapToGrid w:val="0"/>
        <w:spacing w:line="360" w:lineRule="auto"/>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会计准则的重难点问题与会计信息质量提升</w:t>
      </w:r>
    </w:p>
    <w:p>
      <w:pPr>
        <w:numPr>
          <w:ilvl w:val="0"/>
          <w:numId w:val="2"/>
        </w:numPr>
        <w:adjustRightInd w:val="0"/>
        <w:snapToGrid w:val="0"/>
        <w:spacing w:line="360" w:lineRule="auto"/>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纳税筹划与企业风险管理</w:t>
      </w:r>
    </w:p>
    <w:p>
      <w:pPr>
        <w:adjustRightInd w:val="0"/>
        <w:snapToGrid w:val="0"/>
        <w:spacing w:line="360" w:lineRule="auto"/>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模块</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rPr>
        <w:t>业务</w:t>
      </w:r>
      <w:r>
        <w:rPr>
          <w:rFonts w:hint="eastAsia" w:ascii="仿宋" w:hAnsi="仿宋" w:eastAsia="仿宋" w:cs="仿宋"/>
          <w:b/>
          <w:bCs/>
          <w:sz w:val="32"/>
          <w:szCs w:val="32"/>
          <w:lang w:val="en-US" w:eastAsia="zh-CN"/>
        </w:rPr>
        <w:t>创新与市场</w:t>
      </w:r>
      <w:r>
        <w:rPr>
          <w:rFonts w:hint="eastAsia" w:ascii="仿宋" w:hAnsi="仿宋" w:eastAsia="仿宋" w:cs="仿宋"/>
          <w:b/>
          <w:bCs/>
          <w:sz w:val="32"/>
          <w:szCs w:val="32"/>
        </w:rPr>
        <w:t>拓展：</w:t>
      </w:r>
      <w:r>
        <w:rPr>
          <w:rFonts w:hint="eastAsia" w:ascii="仿宋" w:hAnsi="仿宋" w:eastAsia="仿宋" w:cs="仿宋"/>
          <w:b/>
          <w:bCs/>
          <w:sz w:val="32"/>
          <w:szCs w:val="32"/>
          <w:lang w:val="en-US" w:eastAsia="zh-CN"/>
        </w:rPr>
        <w:t>新业务</w:t>
      </w:r>
      <w:r>
        <w:rPr>
          <w:rFonts w:hint="eastAsia" w:ascii="仿宋" w:hAnsi="仿宋" w:eastAsia="仿宋" w:cs="仿宋"/>
          <w:b/>
          <w:bCs/>
          <w:sz w:val="32"/>
          <w:szCs w:val="32"/>
          <w:lang w:eastAsia="zh-CN"/>
        </w:rPr>
        <w:t>新市场</w:t>
      </w:r>
      <w:r>
        <w:rPr>
          <w:rFonts w:hint="eastAsia" w:ascii="仿宋" w:hAnsi="仿宋" w:eastAsia="仿宋" w:cs="仿宋"/>
          <w:b/>
          <w:bCs/>
          <w:sz w:val="32"/>
          <w:szCs w:val="32"/>
        </w:rPr>
        <w:t>扩张</w:t>
      </w:r>
      <w:r>
        <w:rPr>
          <w:rFonts w:hint="eastAsia" w:ascii="仿宋" w:hAnsi="仿宋" w:eastAsia="仿宋" w:cs="仿宋"/>
          <w:b/>
          <w:bCs/>
          <w:sz w:val="32"/>
          <w:szCs w:val="32"/>
          <w:lang w:val="en-US" w:eastAsia="zh-CN"/>
        </w:rPr>
        <w:t>策略</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1.新时代业务创新动因分析</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2.技术应用与服务模式创新</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3.客户细分与目标市场策略</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4.营销技巧与客户关系管理</w:t>
      </w:r>
    </w:p>
    <w:p>
      <w:pPr>
        <w:adjustRightInd w:val="0"/>
        <w:snapToGrid w:val="0"/>
        <w:spacing w:line="360" w:lineRule="auto"/>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eastAsia="zh-CN"/>
        </w:rPr>
        <w:t>模块</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用创新引领未来：</w:t>
      </w:r>
      <w:r>
        <w:rPr>
          <w:rFonts w:hint="eastAsia" w:ascii="仿宋" w:hAnsi="仿宋" w:eastAsia="仿宋" w:cs="仿宋"/>
          <w:b/>
          <w:bCs/>
          <w:sz w:val="32"/>
          <w:szCs w:val="32"/>
        </w:rPr>
        <w:t>创新思维</w:t>
      </w:r>
      <w:r>
        <w:rPr>
          <w:rFonts w:hint="eastAsia" w:ascii="仿宋" w:hAnsi="仿宋" w:eastAsia="仿宋" w:cs="仿宋"/>
          <w:b/>
          <w:bCs/>
          <w:sz w:val="32"/>
          <w:szCs w:val="32"/>
          <w:lang w:val="en-US" w:eastAsia="zh-CN"/>
        </w:rPr>
        <w:t>与领导力培育</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1.新业务拓展需要创新思维</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2.创新思维如何挑战领导力</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3.如何领导跨部门和跨功能团队协作</w:t>
      </w:r>
    </w:p>
    <w:p>
      <w:pPr>
        <w:adjustRightInd w:val="0"/>
        <w:snapToGrid w:val="0"/>
        <w:spacing w:line="360" w:lineRule="auto"/>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4.面向未来的财税管理团队建设和人员能力素质提升</w:t>
      </w:r>
    </w:p>
    <w:p>
      <w:pPr>
        <w:adjustRightInd w:val="0"/>
        <w:snapToGrid w:val="0"/>
        <w:spacing w:line="36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模块六、数智技术赋能价值提升：业务模式与管理转型的技术路径</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1.委托代理双方面临的的管理困境</w:t>
      </w:r>
    </w:p>
    <w:p>
      <w:pPr>
        <w:adjustRightInd w:val="0"/>
        <w:snapToGrid w:val="0"/>
        <w:spacing w:line="360" w:lineRule="auto"/>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2.数智化技术平台如何驱动</w:t>
      </w:r>
      <w:r>
        <w:rPr>
          <w:rFonts w:hint="default" w:ascii="仿宋" w:hAnsi="仿宋" w:eastAsia="仿宋" w:cs="仿宋"/>
          <w:sz w:val="32"/>
          <w:szCs w:val="32"/>
          <w:lang w:val="en-US" w:eastAsia="zh-CN"/>
        </w:rPr>
        <w:t>代理</w:t>
      </w:r>
      <w:r>
        <w:rPr>
          <w:rFonts w:hint="eastAsia" w:ascii="仿宋" w:hAnsi="仿宋" w:eastAsia="仿宋" w:cs="仿宋"/>
          <w:sz w:val="32"/>
          <w:szCs w:val="32"/>
          <w:lang w:val="en-US" w:eastAsia="zh-CN"/>
        </w:rPr>
        <w:t>业务</w:t>
      </w:r>
      <w:r>
        <w:rPr>
          <w:rFonts w:hint="default" w:ascii="仿宋" w:hAnsi="仿宋" w:eastAsia="仿宋" w:cs="仿宋"/>
          <w:sz w:val="32"/>
          <w:szCs w:val="32"/>
          <w:lang w:val="en-US" w:eastAsia="zh-CN"/>
        </w:rPr>
        <w:t>模式</w:t>
      </w:r>
      <w:r>
        <w:rPr>
          <w:rFonts w:hint="eastAsia" w:ascii="仿宋" w:hAnsi="仿宋" w:eastAsia="仿宋" w:cs="仿宋"/>
          <w:sz w:val="32"/>
          <w:szCs w:val="32"/>
          <w:lang w:val="en-US" w:eastAsia="zh-CN"/>
        </w:rPr>
        <w:t>创新</w:t>
      </w:r>
    </w:p>
    <w:p>
      <w:pPr>
        <w:adjustRightInd w:val="0"/>
        <w:snapToGrid w:val="0"/>
        <w:spacing w:line="360" w:lineRule="auto"/>
        <w:ind w:firstLine="1280" w:firstLineChars="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3.数智化转型如何驱动管理转型</w:t>
      </w:r>
    </w:p>
    <w:p>
      <w:pPr>
        <w:adjustRightInd w:val="0"/>
        <w:snapToGrid w:val="0"/>
        <w:spacing w:line="360" w:lineRule="auto"/>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4.亲身体验数智化赋能的价值</w:t>
      </w:r>
    </w:p>
    <w:p>
      <w:pPr>
        <w:adjustRightInd w:val="0"/>
        <w:snapToGrid w:val="0"/>
        <w:spacing w:line="360" w:lineRule="auto"/>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模块七、结构化研讨：代理记账行业高质量发展新动能</w:t>
      </w:r>
    </w:p>
    <w:p>
      <w:pPr>
        <w:adjustRightInd w:val="0"/>
        <w:snapToGrid w:val="0"/>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全面梳理代理记账行业执业中的突出问题，围绕行业监管要求、会计信息质量提升等方面提出解决对策，帮助学员构建代理记账机构“事前—事中—事后”全生命周期管理体系。</w:t>
      </w:r>
    </w:p>
    <w:p>
      <w:pPr>
        <w:adjustRightInd w:val="0"/>
        <w:snapToGrid w:val="0"/>
        <w:spacing w:before="156" w:beforeLines="5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五</w:t>
      </w:r>
      <w:r>
        <w:rPr>
          <w:rFonts w:ascii="仿宋" w:hAnsi="仿宋" w:eastAsia="仿宋" w:cs="仿宋"/>
          <w:b/>
          <w:sz w:val="32"/>
          <w:szCs w:val="32"/>
          <w:highlight w:val="none"/>
        </w:rPr>
        <w:t>、师资力量</w:t>
      </w:r>
    </w:p>
    <w:p>
      <w:pPr>
        <w:adjustRightInd w:val="0"/>
        <w:snapToGrid w:val="0"/>
        <w:spacing w:before="156" w:beforeLines="50" w:line="360" w:lineRule="auto"/>
        <w:ind w:firstLine="640" w:firstLineChars="200"/>
        <w:rPr>
          <w:rFonts w:hint="default" w:ascii="仿宋" w:hAnsi="仿宋" w:eastAsia="仿宋" w:cs="仿宋"/>
          <w:sz w:val="32"/>
          <w:szCs w:val="32"/>
        </w:rPr>
      </w:pPr>
      <w:r>
        <w:rPr>
          <w:rFonts w:hint="default" w:ascii="仿宋" w:hAnsi="仿宋" w:eastAsia="仿宋" w:cs="仿宋"/>
          <w:sz w:val="32"/>
          <w:szCs w:val="32"/>
        </w:rPr>
        <w:t>本培训课程由北京国家会计学院精心组织的专门师资团队授课。授课老师来自各个领域，拥有丰富的理论知识和实践经验，包括财政部有关司局领导，北京国家会计学院、国内著名高校以及著名企业相关领导等，具体师资以实际课表为准。</w:t>
      </w:r>
    </w:p>
    <w:p>
      <w:pPr>
        <w:adjustRightInd w:val="0"/>
        <w:snapToGrid w:val="0"/>
        <w:spacing w:before="156" w:beforeLines="50" w:line="360" w:lineRule="auto"/>
        <w:rPr>
          <w:rFonts w:ascii="仿宋" w:hAnsi="仿宋" w:eastAsia="仿宋" w:cs="仿宋"/>
          <w:b/>
          <w:sz w:val="32"/>
          <w:szCs w:val="32"/>
          <w:highlight w:val="none"/>
        </w:rPr>
      </w:pPr>
      <w:r>
        <w:rPr>
          <w:rFonts w:hint="eastAsia" w:ascii="仿宋" w:hAnsi="仿宋" w:eastAsia="仿宋" w:cs="仿宋"/>
          <w:b/>
          <w:sz w:val="32"/>
          <w:szCs w:val="32"/>
          <w:highlight w:val="none"/>
        </w:rPr>
        <w:t>六、时间地点</w:t>
      </w:r>
    </w:p>
    <w:tbl>
      <w:tblPr>
        <w:tblStyle w:val="3"/>
        <w:tblW w:w="8897"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75" w:type="dxa"/>
          <w:left w:w="75" w:type="dxa"/>
          <w:bottom w:w="75" w:type="dxa"/>
          <w:right w:w="75" w:type="dxa"/>
        </w:tblCellMar>
      </w:tblPr>
      <w:tblGrid>
        <w:gridCol w:w="1130"/>
        <w:gridCol w:w="1825"/>
        <w:gridCol w:w="2225"/>
        <w:gridCol w:w="1913"/>
        <w:gridCol w:w="180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pPr>
              <w:widowControl/>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期数</w:t>
            </w:r>
          </w:p>
        </w:tc>
        <w:tc>
          <w:tcPr>
            <w:tcW w:w="18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报到时间</w:t>
            </w:r>
          </w:p>
        </w:tc>
        <w:tc>
          <w:tcPr>
            <w:tcW w:w="22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培训时间</w:t>
            </w:r>
          </w:p>
        </w:tc>
        <w:tc>
          <w:tcPr>
            <w:tcW w:w="1913" w:type="dxa"/>
            <w:tcBorders>
              <w:top w:val="single" w:color="000000" w:sz="6" w:space="0"/>
              <w:left w:val="single" w:color="000000" w:sz="6" w:space="0"/>
              <w:bottom w:val="single" w:color="000000" w:sz="6" w:space="0"/>
              <w:right w:val="single" w:color="000000" w:sz="6" w:space="0"/>
            </w:tcBorders>
          </w:tcPr>
          <w:p>
            <w:pPr>
              <w:widowControl/>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返程时间</w:t>
            </w:r>
          </w:p>
        </w:tc>
        <w:tc>
          <w:tcPr>
            <w:tcW w:w="1804" w:type="dxa"/>
            <w:tcBorders>
              <w:top w:val="single" w:color="000000" w:sz="6" w:space="0"/>
              <w:left w:val="single" w:color="000000" w:sz="6" w:space="0"/>
              <w:bottom w:val="single" w:color="000000" w:sz="6" w:space="0"/>
              <w:right w:val="single" w:color="000000" w:sz="6" w:space="0"/>
            </w:tcBorders>
          </w:tcPr>
          <w:p>
            <w:pPr>
              <w:widowControl/>
              <w:jc w:val="center"/>
              <w:rPr>
                <w:rFonts w:ascii="仿宋" w:hAnsi="仿宋" w:eastAsia="仿宋" w:cs="宋体"/>
                <w:kern w:val="0"/>
                <w:sz w:val="32"/>
                <w:szCs w:val="32"/>
                <w:highlight w:val="none"/>
              </w:rPr>
            </w:pPr>
            <w:r>
              <w:rPr>
                <w:rFonts w:hint="eastAsia" w:ascii="仿宋" w:hAnsi="仿宋" w:eastAsia="仿宋" w:cs="宋体"/>
                <w:kern w:val="0"/>
                <w:sz w:val="32"/>
                <w:szCs w:val="32"/>
                <w:highlight w:val="none"/>
              </w:rPr>
              <w:t>地点</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pPr>
              <w:widowControl/>
              <w:jc w:val="center"/>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第</w:t>
            </w:r>
            <w:r>
              <w:rPr>
                <w:rFonts w:hint="eastAsia" w:ascii="仿宋" w:hAnsi="仿宋" w:eastAsia="仿宋" w:cs="宋体"/>
                <w:kern w:val="0"/>
                <w:sz w:val="32"/>
                <w:szCs w:val="32"/>
                <w:highlight w:val="none"/>
                <w:lang w:val="en-US" w:eastAsia="zh-CN"/>
              </w:rPr>
              <w:t>1</w:t>
            </w:r>
            <w:r>
              <w:rPr>
                <w:rFonts w:hint="eastAsia" w:ascii="仿宋" w:hAnsi="仿宋" w:eastAsia="仿宋" w:cs="宋体"/>
                <w:kern w:val="0"/>
                <w:sz w:val="32"/>
                <w:szCs w:val="32"/>
                <w:highlight w:val="none"/>
              </w:rPr>
              <w:t>期</w:t>
            </w:r>
          </w:p>
        </w:tc>
        <w:tc>
          <w:tcPr>
            <w:tcW w:w="18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8月18日</w:t>
            </w:r>
          </w:p>
        </w:tc>
        <w:tc>
          <w:tcPr>
            <w:tcW w:w="22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8月19-21日</w:t>
            </w:r>
          </w:p>
        </w:tc>
        <w:tc>
          <w:tcPr>
            <w:tcW w:w="1913" w:type="dxa"/>
            <w:tcBorders>
              <w:top w:val="single" w:color="000000" w:sz="6" w:space="0"/>
              <w:left w:val="single" w:color="000000" w:sz="6" w:space="0"/>
              <w:bottom w:val="single" w:color="000000" w:sz="6" w:space="0"/>
              <w:right w:val="single" w:color="000000" w:sz="6" w:space="0"/>
            </w:tcBorders>
          </w:tcPr>
          <w:p>
            <w:pPr>
              <w:widowControl/>
              <w:jc w:val="cente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8月22日</w:t>
            </w:r>
          </w:p>
        </w:tc>
        <w:tc>
          <w:tcPr>
            <w:tcW w:w="1804" w:type="dxa"/>
            <w:tcBorders>
              <w:top w:val="single" w:color="000000" w:sz="6" w:space="0"/>
              <w:left w:val="single" w:color="000000" w:sz="6" w:space="0"/>
              <w:bottom w:val="single" w:color="000000" w:sz="6" w:space="0"/>
              <w:right w:val="single" w:color="000000" w:sz="6" w:space="0"/>
            </w:tcBorders>
          </w:tcPr>
          <w:p>
            <w:pPr>
              <w:widowControl/>
              <w:jc w:val="cente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北京</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pPr>
              <w:widowControl/>
              <w:jc w:val="cente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第2期</w:t>
            </w:r>
          </w:p>
        </w:tc>
        <w:tc>
          <w:tcPr>
            <w:tcW w:w="18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9月18日</w:t>
            </w:r>
          </w:p>
        </w:tc>
        <w:tc>
          <w:tcPr>
            <w:tcW w:w="22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9月19-21日</w:t>
            </w:r>
          </w:p>
        </w:tc>
        <w:tc>
          <w:tcPr>
            <w:tcW w:w="1913" w:type="dxa"/>
            <w:tcBorders>
              <w:top w:val="single" w:color="000000" w:sz="6" w:space="0"/>
              <w:left w:val="single" w:color="000000" w:sz="6" w:space="0"/>
              <w:bottom w:val="single" w:color="000000" w:sz="6" w:space="0"/>
              <w:right w:val="single" w:color="000000" w:sz="6" w:space="0"/>
            </w:tcBorders>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9月22日</w:t>
            </w:r>
          </w:p>
        </w:tc>
        <w:tc>
          <w:tcPr>
            <w:tcW w:w="1804" w:type="dxa"/>
            <w:tcBorders>
              <w:top w:val="single" w:color="000000" w:sz="6" w:space="0"/>
              <w:left w:val="single" w:color="000000" w:sz="6" w:space="0"/>
              <w:bottom w:val="single" w:color="000000" w:sz="6" w:space="0"/>
              <w:right w:val="single" w:color="000000" w:sz="6" w:space="0"/>
            </w:tcBorders>
          </w:tcPr>
          <w:p>
            <w:pPr>
              <w:widowControl/>
              <w:jc w:val="cente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石家庄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pPr>
              <w:widowControl/>
              <w:jc w:val="center"/>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lang w:val="en-US" w:eastAsia="zh-CN"/>
              </w:rPr>
              <w:t>第3期</w:t>
            </w:r>
          </w:p>
        </w:tc>
        <w:tc>
          <w:tcPr>
            <w:tcW w:w="18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10月18日</w:t>
            </w:r>
          </w:p>
        </w:tc>
        <w:tc>
          <w:tcPr>
            <w:tcW w:w="22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10月19-21日</w:t>
            </w:r>
          </w:p>
        </w:tc>
        <w:tc>
          <w:tcPr>
            <w:tcW w:w="1913" w:type="dxa"/>
            <w:tcBorders>
              <w:top w:val="single" w:color="000000" w:sz="6" w:space="0"/>
              <w:left w:val="single" w:color="000000" w:sz="6" w:space="0"/>
              <w:bottom w:val="single" w:color="000000" w:sz="6" w:space="0"/>
              <w:right w:val="single" w:color="000000" w:sz="6" w:space="0"/>
            </w:tcBorders>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10月22日</w:t>
            </w:r>
          </w:p>
        </w:tc>
        <w:tc>
          <w:tcPr>
            <w:tcW w:w="1804" w:type="dxa"/>
            <w:tcBorders>
              <w:top w:val="single" w:color="000000" w:sz="6" w:space="0"/>
              <w:left w:val="single" w:color="000000" w:sz="6" w:space="0"/>
              <w:bottom w:val="single" w:color="000000" w:sz="6" w:space="0"/>
              <w:right w:val="single" w:color="000000" w:sz="6" w:space="0"/>
            </w:tcBorders>
          </w:tcPr>
          <w:p>
            <w:pPr>
              <w:widowControl/>
              <w:jc w:val="cente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乌镇</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pPr>
              <w:widowControl/>
              <w:jc w:val="center"/>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lang w:val="en-US" w:eastAsia="zh-CN"/>
              </w:rPr>
              <w:t>第4期</w:t>
            </w:r>
          </w:p>
        </w:tc>
        <w:tc>
          <w:tcPr>
            <w:tcW w:w="18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11月18日</w:t>
            </w:r>
          </w:p>
        </w:tc>
        <w:tc>
          <w:tcPr>
            <w:tcW w:w="22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11月19-21日</w:t>
            </w:r>
          </w:p>
        </w:tc>
        <w:tc>
          <w:tcPr>
            <w:tcW w:w="1913" w:type="dxa"/>
            <w:tcBorders>
              <w:top w:val="single" w:color="000000" w:sz="6" w:space="0"/>
              <w:left w:val="single" w:color="000000" w:sz="6" w:space="0"/>
              <w:bottom w:val="single" w:color="000000" w:sz="6" w:space="0"/>
              <w:right w:val="single" w:color="000000" w:sz="6" w:space="0"/>
            </w:tcBorders>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11月22日</w:t>
            </w:r>
          </w:p>
        </w:tc>
        <w:tc>
          <w:tcPr>
            <w:tcW w:w="1804" w:type="dxa"/>
            <w:tcBorders>
              <w:top w:val="single" w:color="000000" w:sz="6" w:space="0"/>
              <w:left w:val="single" w:color="000000" w:sz="6" w:space="0"/>
              <w:bottom w:val="single" w:color="000000" w:sz="6" w:space="0"/>
              <w:right w:val="single" w:color="000000" w:sz="6" w:space="0"/>
            </w:tcBorders>
          </w:tcPr>
          <w:p>
            <w:pPr>
              <w:widowControl/>
              <w:jc w:val="cente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西安</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75" w:type="dxa"/>
            <w:left w:w="75" w:type="dxa"/>
            <w:bottom w:w="75" w:type="dxa"/>
            <w:right w:w="75" w:type="dxa"/>
          </w:tblCellMar>
        </w:tblPrEx>
        <w:trPr>
          <w:jc w:val="center"/>
        </w:trPr>
        <w:tc>
          <w:tcPr>
            <w:tcW w:w="1130" w:type="dxa"/>
            <w:tcBorders>
              <w:top w:val="single" w:color="000000" w:sz="6" w:space="0"/>
              <w:left w:val="single" w:color="000000" w:sz="6" w:space="0"/>
              <w:bottom w:val="single" w:color="000000" w:sz="6" w:space="0"/>
              <w:right w:val="single" w:color="000000" w:sz="6" w:space="0"/>
            </w:tcBorders>
          </w:tcPr>
          <w:p>
            <w:pPr>
              <w:widowControl/>
              <w:jc w:val="center"/>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lang w:val="en-US" w:eastAsia="zh-CN"/>
              </w:rPr>
              <w:t>第5期</w:t>
            </w:r>
          </w:p>
        </w:tc>
        <w:tc>
          <w:tcPr>
            <w:tcW w:w="18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12月18日</w:t>
            </w:r>
          </w:p>
        </w:tc>
        <w:tc>
          <w:tcPr>
            <w:tcW w:w="222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12月19-21日</w:t>
            </w:r>
          </w:p>
        </w:tc>
        <w:tc>
          <w:tcPr>
            <w:tcW w:w="1913" w:type="dxa"/>
            <w:tcBorders>
              <w:top w:val="single" w:color="000000" w:sz="6" w:space="0"/>
              <w:left w:val="single" w:color="000000" w:sz="6" w:space="0"/>
              <w:bottom w:val="single" w:color="000000" w:sz="6" w:space="0"/>
              <w:right w:val="single" w:color="000000" w:sz="6" w:space="0"/>
            </w:tcBorders>
          </w:tcPr>
          <w:p>
            <w:pPr>
              <w:widowControl/>
              <w:jc w:val="center"/>
              <w:rPr>
                <w:rFonts w:hint="eastAsia"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12月22日</w:t>
            </w:r>
          </w:p>
        </w:tc>
        <w:tc>
          <w:tcPr>
            <w:tcW w:w="1804" w:type="dxa"/>
            <w:tcBorders>
              <w:top w:val="single" w:color="000000" w:sz="6" w:space="0"/>
              <w:left w:val="single" w:color="000000" w:sz="6" w:space="0"/>
              <w:bottom w:val="single" w:color="000000" w:sz="6" w:space="0"/>
              <w:right w:val="single" w:color="000000" w:sz="6" w:space="0"/>
            </w:tcBorders>
          </w:tcPr>
          <w:p>
            <w:pPr>
              <w:widowControl/>
              <w:jc w:val="center"/>
              <w:rPr>
                <w:rFonts w:hint="default" w:ascii="仿宋" w:hAnsi="仿宋" w:eastAsia="仿宋" w:cs="宋体"/>
                <w:kern w:val="0"/>
                <w:sz w:val="32"/>
                <w:szCs w:val="32"/>
                <w:highlight w:val="none"/>
                <w:lang w:val="en-US" w:eastAsia="zh-CN"/>
              </w:rPr>
            </w:pPr>
            <w:r>
              <w:rPr>
                <w:rFonts w:hint="eastAsia" w:ascii="仿宋" w:hAnsi="仿宋" w:eastAsia="仿宋" w:cs="宋体"/>
                <w:kern w:val="0"/>
                <w:sz w:val="32"/>
                <w:szCs w:val="32"/>
                <w:highlight w:val="none"/>
                <w:lang w:val="en-US" w:eastAsia="zh-CN"/>
              </w:rPr>
              <w:t>成都</w:t>
            </w:r>
          </w:p>
        </w:tc>
      </w:tr>
    </w:tbl>
    <w:p>
      <w:pPr>
        <w:widowControl w:val="0"/>
        <w:spacing w:before="156" w:beforeLines="50" w:after="156" w:afterLines="50" w:line="360" w:lineRule="auto"/>
        <w:jc w:val="left"/>
        <w:rPr>
          <w:rFonts w:ascii="仿宋" w:hAnsi="仿宋" w:eastAsia="仿宋" w:cs="Times New Roman"/>
          <w:b/>
          <w:kern w:val="2"/>
          <w:sz w:val="32"/>
          <w:szCs w:val="32"/>
          <w:highlight w:val="none"/>
          <w:lang w:val="en-US" w:eastAsia="zh-CN" w:bidi="ar-SA"/>
        </w:rPr>
      </w:pPr>
      <w:r>
        <w:rPr>
          <w:rFonts w:hint="eastAsia" w:ascii="仿宋" w:hAnsi="仿宋" w:eastAsia="仿宋" w:cs="Times New Roman"/>
          <w:b/>
          <w:kern w:val="2"/>
          <w:sz w:val="32"/>
          <w:szCs w:val="32"/>
          <w:highlight w:val="none"/>
          <w:lang w:val="en-US" w:eastAsia="zh-CN" w:bidi="ar-SA"/>
        </w:rPr>
        <w:t>七</w:t>
      </w:r>
      <w:r>
        <w:rPr>
          <w:rFonts w:ascii="仿宋" w:hAnsi="仿宋" w:eastAsia="仿宋" w:cs="Times New Roman"/>
          <w:b/>
          <w:kern w:val="2"/>
          <w:sz w:val="32"/>
          <w:szCs w:val="32"/>
          <w:highlight w:val="none"/>
          <w:lang w:val="en-US" w:eastAsia="zh-CN" w:bidi="ar-SA"/>
        </w:rPr>
        <w:t>、结业</w:t>
      </w:r>
      <w:r>
        <w:rPr>
          <w:rFonts w:hint="eastAsia" w:ascii="仿宋" w:hAnsi="仿宋" w:eastAsia="仿宋" w:cs="Times New Roman"/>
          <w:b/>
          <w:kern w:val="2"/>
          <w:sz w:val="32"/>
          <w:szCs w:val="32"/>
          <w:highlight w:val="none"/>
          <w:lang w:val="en-US" w:eastAsia="zh-CN" w:bidi="ar-SA"/>
        </w:rPr>
        <w:t>证书</w:t>
      </w:r>
    </w:p>
    <w:p>
      <w:pPr>
        <w:adjustRightInd w:val="0"/>
        <w:snapToGrid w:val="0"/>
        <w:spacing w:before="156" w:beforeLines="50" w:line="360" w:lineRule="auto"/>
        <w:ind w:firstLine="640" w:firstLineChars="200"/>
        <w:rPr>
          <w:rFonts w:ascii="仿宋" w:hAnsi="仿宋" w:eastAsia="仿宋" w:cs="仿宋"/>
          <w:b/>
          <w:sz w:val="32"/>
          <w:szCs w:val="32"/>
          <w:highlight w:val="none"/>
        </w:rPr>
      </w:pPr>
      <w:r>
        <w:rPr>
          <w:rFonts w:ascii="仿宋" w:hAnsi="仿宋" w:eastAsia="仿宋" w:cs="Times New Roman"/>
          <w:sz w:val="32"/>
          <w:szCs w:val="32"/>
          <w:highlight w:val="none"/>
        </w:rPr>
        <w:t>完成全部课程学习，获得由北京国家会计学院颁发的电子版结业证书。</w:t>
      </w:r>
    </w:p>
    <w:p>
      <w:pPr>
        <w:adjustRightInd w:val="0"/>
        <w:snapToGrid w:val="0"/>
        <w:spacing w:before="156" w:beforeLines="50" w:line="360" w:lineRule="auto"/>
        <w:rPr>
          <w:rFonts w:ascii="仿宋" w:hAnsi="仿宋" w:eastAsia="仿宋" w:cs="仿宋"/>
          <w:b/>
          <w:sz w:val="32"/>
          <w:szCs w:val="32"/>
          <w:highlight w:val="none"/>
        </w:rPr>
      </w:pPr>
      <w:r>
        <w:rPr>
          <w:rFonts w:hint="eastAsia" w:ascii="仿宋" w:hAnsi="仿宋" w:eastAsia="仿宋" w:cs="Times New Roman"/>
          <w:b/>
          <w:sz w:val="32"/>
          <w:szCs w:val="32"/>
          <w:highlight w:val="none"/>
        </w:rPr>
        <w:t>八</w:t>
      </w:r>
      <w:r>
        <w:rPr>
          <w:rFonts w:ascii="仿宋" w:hAnsi="仿宋" w:eastAsia="仿宋" w:cs="Times New Roman"/>
          <w:b/>
          <w:sz w:val="32"/>
          <w:szCs w:val="32"/>
          <w:highlight w:val="none"/>
        </w:rPr>
        <w:t>、收费标准</w:t>
      </w:r>
    </w:p>
    <w:p>
      <w:pPr>
        <w:adjustRightInd w:val="0"/>
        <w:snapToGrid w:val="0"/>
        <w:spacing w:line="360" w:lineRule="auto"/>
        <w:ind w:firstLine="660" w:firstLineChars="200"/>
        <w:rPr>
          <w:rFonts w:ascii="仿宋" w:hAnsi="仿宋" w:eastAsia="仿宋" w:cs="仿宋"/>
          <w:color w:val="FF0000"/>
          <w:sz w:val="32"/>
          <w:szCs w:val="32"/>
        </w:rPr>
      </w:pPr>
      <w:r>
        <w:rPr>
          <w:rFonts w:hint="eastAsia" w:ascii="仿宋" w:hAnsi="仿宋" w:eastAsia="仿宋" w:cs="华文仿宋"/>
          <w:spacing w:val="5"/>
          <w:kern w:val="0"/>
          <w:sz w:val="32"/>
          <w:szCs w:val="32"/>
        </w:rPr>
        <w:t>（一</w:t>
      </w:r>
      <w:r>
        <w:rPr>
          <w:rFonts w:hint="eastAsia" w:ascii="仿宋" w:hAnsi="仿宋" w:eastAsia="仿宋" w:cs="华文仿宋"/>
          <w:color w:val="auto"/>
          <w:spacing w:val="5"/>
          <w:kern w:val="0"/>
          <w:sz w:val="32"/>
          <w:szCs w:val="32"/>
        </w:rPr>
        <w:t>）</w:t>
      </w:r>
      <w:r>
        <w:rPr>
          <w:rFonts w:hint="eastAsia" w:ascii="仿宋" w:hAnsi="仿宋" w:eastAsia="仿宋" w:cs="仿宋"/>
          <w:color w:val="auto"/>
          <w:sz w:val="32"/>
          <w:szCs w:val="32"/>
        </w:rPr>
        <w:t>培训费:</w:t>
      </w:r>
      <w:r>
        <w:rPr>
          <w:rFonts w:hint="eastAsia" w:ascii="仿宋" w:hAnsi="仿宋" w:eastAsia="仿宋" w:cs="仿宋"/>
          <w:color w:val="auto"/>
          <w:sz w:val="32"/>
          <w:szCs w:val="32"/>
          <w:lang w:val="en-US" w:eastAsia="zh-CN"/>
        </w:rPr>
        <w:t>768</w:t>
      </w:r>
      <w:r>
        <w:rPr>
          <w:rFonts w:hint="eastAsia" w:ascii="仿宋" w:hAnsi="仿宋" w:eastAsia="仿宋" w:cs="仿宋"/>
          <w:color w:val="auto"/>
          <w:sz w:val="32"/>
          <w:szCs w:val="32"/>
        </w:rPr>
        <w:t>0元/人</w:t>
      </w:r>
    </w:p>
    <w:p>
      <w:pPr>
        <w:adjustRightInd w:val="0"/>
        <w:snapToGrid w:val="0"/>
        <w:spacing w:line="360" w:lineRule="auto"/>
        <w:ind w:firstLine="660" w:firstLineChars="200"/>
        <w:rPr>
          <w:rFonts w:ascii="仿宋" w:hAnsi="仿宋" w:eastAsia="仿宋" w:cs="仿宋"/>
          <w:sz w:val="32"/>
          <w:szCs w:val="32"/>
        </w:rPr>
      </w:pPr>
      <w:r>
        <w:rPr>
          <w:rFonts w:hint="eastAsia" w:ascii="仿宋" w:hAnsi="仿宋" w:eastAsia="仿宋" w:cs="华文仿宋"/>
          <w:spacing w:val="5"/>
          <w:kern w:val="0"/>
          <w:sz w:val="32"/>
          <w:szCs w:val="32"/>
        </w:rPr>
        <w:t>（二）</w:t>
      </w:r>
      <w:r>
        <w:rPr>
          <w:rFonts w:hint="eastAsia" w:ascii="仿宋" w:hAnsi="仿宋" w:eastAsia="仿宋" w:cs="仿宋"/>
          <w:sz w:val="32"/>
          <w:szCs w:val="32"/>
        </w:rPr>
        <w:t>在北京国家会计学院举办的培训可提供食宿。就餐为自助餐，收费标准为120元/人天。住宿条件为单人标准间，收费标准普通间340元/人天，商务间550元/人天，新商务间650元/人天（住宿费用含游泳、健身、净娱乐、宽带上网等费用），在京外举办的培训由当地酒店提供食宿，统一安排，费用自理。</w:t>
      </w:r>
    </w:p>
    <w:p>
      <w:pPr>
        <w:adjustRightInd w:val="0"/>
        <w:snapToGrid w:val="0"/>
        <w:spacing w:line="360" w:lineRule="auto"/>
        <w:ind w:firstLine="660" w:firstLineChars="200"/>
        <w:rPr>
          <w:rFonts w:ascii="仿宋" w:hAnsi="仿宋" w:eastAsia="仿宋" w:cs="仿宋"/>
          <w:sz w:val="32"/>
          <w:szCs w:val="32"/>
        </w:rPr>
      </w:pPr>
      <w:r>
        <w:rPr>
          <w:rFonts w:hint="eastAsia" w:ascii="仿宋" w:hAnsi="仿宋" w:eastAsia="仿宋" w:cs="华文仿宋"/>
          <w:spacing w:val="5"/>
          <w:kern w:val="0"/>
          <w:sz w:val="32"/>
          <w:szCs w:val="32"/>
        </w:rPr>
        <w:t>（三）</w:t>
      </w:r>
      <w:r>
        <w:rPr>
          <w:rFonts w:hint="eastAsia" w:ascii="仿宋" w:hAnsi="仿宋" w:eastAsia="仿宋" w:cs="仿宋"/>
          <w:sz w:val="32"/>
          <w:szCs w:val="32"/>
        </w:rPr>
        <w:t>缴费方式</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1．报到时现场刷卡或扫码支付；</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2．银行汇款（培训费可汇款，食宿费需当场缴纳）：</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单位名称：北京国家会计学院</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开户行：中国建设银行北京天竺支行（201）</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账  号：1100 1020 1000 5603 0985</w:t>
      </w:r>
    </w:p>
    <w:p>
      <w:pPr>
        <w:adjustRightInd w:val="0"/>
        <w:snapToGrid w:val="0"/>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注：汇款的学员请于报到当日持汇款复印件报到，否则视同未汇款，需重新交纳培训费用。</w:t>
      </w:r>
    </w:p>
    <w:p>
      <w:pPr>
        <w:widowControl/>
        <w:shd w:val="clear" w:color="auto" w:fill="FFFFFF"/>
        <w:spacing w:line="360" w:lineRule="auto"/>
        <w:rPr>
          <w:rFonts w:ascii="仿宋" w:hAnsi="仿宋" w:eastAsia="仿宋" w:cs="华文仿宋"/>
          <w:b/>
          <w:bCs/>
          <w:kern w:val="0"/>
          <w:sz w:val="32"/>
          <w:szCs w:val="32"/>
          <w:highlight w:val="none"/>
        </w:rPr>
      </w:pPr>
      <w:r>
        <w:rPr>
          <w:rFonts w:hint="eastAsia" w:ascii="仿宋" w:hAnsi="仿宋" w:eastAsia="仿宋" w:cs="华文仿宋"/>
          <w:b/>
          <w:bCs/>
          <w:kern w:val="0"/>
          <w:sz w:val="32"/>
          <w:szCs w:val="32"/>
          <w:highlight w:val="none"/>
        </w:rPr>
        <w:t>九、联系我们</w:t>
      </w:r>
    </w:p>
    <w:p>
      <w:pPr>
        <w:widowControl/>
        <w:shd w:val="clear" w:color="auto" w:fill="FFFFFF"/>
        <w:spacing w:line="360" w:lineRule="auto"/>
        <w:rPr>
          <w:rFonts w:ascii="仿宋" w:hAnsi="仿宋" w:eastAsia="仿宋" w:cs="华文仿宋"/>
          <w:spacing w:val="5"/>
          <w:kern w:val="0"/>
          <w:sz w:val="32"/>
          <w:szCs w:val="32"/>
        </w:rPr>
      </w:pPr>
      <w:r>
        <w:rPr>
          <w:rFonts w:hint="eastAsia" w:ascii="仿宋" w:hAnsi="仿宋" w:eastAsia="仿宋" w:cs="华文仿宋"/>
          <w:spacing w:val="5"/>
          <w:kern w:val="0"/>
          <w:sz w:val="32"/>
          <w:szCs w:val="32"/>
        </w:rPr>
        <w:t>（一）课程咨询：</w:t>
      </w:r>
      <w:r>
        <w:rPr>
          <w:rFonts w:hint="eastAsia" w:ascii="仿宋" w:hAnsi="仿宋" w:eastAsia="仿宋" w:cs="华文仿宋"/>
          <w:spacing w:val="5"/>
          <w:kern w:val="0"/>
          <w:sz w:val="32"/>
          <w:szCs w:val="32"/>
          <w:lang w:val="en-US" w:eastAsia="zh-CN"/>
        </w:rPr>
        <w:t>付</w:t>
      </w:r>
      <w:r>
        <w:rPr>
          <w:rFonts w:hint="eastAsia" w:ascii="仿宋" w:hAnsi="仿宋" w:eastAsia="仿宋" w:cs="华文仿宋"/>
          <w:spacing w:val="5"/>
          <w:kern w:val="0"/>
          <w:sz w:val="32"/>
          <w:szCs w:val="32"/>
        </w:rPr>
        <w:t>老师</w:t>
      </w:r>
    </w:p>
    <w:p>
      <w:pPr>
        <w:widowControl/>
        <w:shd w:val="clear" w:color="auto" w:fill="FFFFFF"/>
        <w:spacing w:line="360" w:lineRule="auto"/>
        <w:ind w:firstLine="990" w:firstLineChars="300"/>
        <w:rPr>
          <w:rFonts w:ascii="仿宋" w:hAnsi="仿宋" w:eastAsia="仿宋" w:cs="华文仿宋"/>
          <w:spacing w:val="5"/>
          <w:kern w:val="0"/>
          <w:sz w:val="32"/>
          <w:szCs w:val="32"/>
        </w:rPr>
      </w:pPr>
      <w:r>
        <w:rPr>
          <w:rFonts w:hint="eastAsia" w:ascii="仿宋" w:hAnsi="仿宋" w:eastAsia="仿宋" w:cs="华文仿宋"/>
          <w:spacing w:val="5"/>
          <w:kern w:val="0"/>
          <w:sz w:val="32"/>
          <w:szCs w:val="32"/>
        </w:rPr>
        <w:t>电话：031185518262</w:t>
      </w:r>
    </w:p>
    <w:p>
      <w:pPr>
        <w:widowControl/>
        <w:shd w:val="clear" w:color="auto" w:fill="FFFFFF"/>
        <w:spacing w:line="360" w:lineRule="auto"/>
        <w:ind w:firstLine="990" w:firstLineChars="300"/>
        <w:rPr>
          <w:rFonts w:hint="default" w:ascii="仿宋" w:hAnsi="仿宋" w:eastAsia="仿宋" w:cs="华文仿宋"/>
          <w:spacing w:val="5"/>
          <w:kern w:val="0"/>
          <w:sz w:val="32"/>
          <w:szCs w:val="32"/>
          <w:lang w:val="en-US" w:eastAsia="zh-CN"/>
        </w:rPr>
      </w:pPr>
      <w:r>
        <w:rPr>
          <w:rFonts w:hint="eastAsia" w:ascii="仿宋" w:hAnsi="仿宋" w:eastAsia="仿宋" w:cs="华文仿宋"/>
          <w:spacing w:val="5"/>
          <w:kern w:val="0"/>
          <w:sz w:val="32"/>
          <w:szCs w:val="32"/>
        </w:rPr>
        <w:t>邮箱：</w:t>
      </w:r>
      <w:r>
        <w:rPr>
          <w:rFonts w:hint="eastAsia" w:ascii="仿宋" w:hAnsi="仿宋" w:eastAsia="仿宋" w:cs="华文仿宋"/>
          <w:spacing w:val="5"/>
          <w:kern w:val="0"/>
          <w:sz w:val="32"/>
          <w:szCs w:val="32"/>
          <w:lang w:val="en-US" w:eastAsia="zh-CN"/>
        </w:rPr>
        <w:t>he.fuxiaotong@aisino.com</w:t>
      </w:r>
    </w:p>
    <w:p>
      <w:pPr>
        <w:rPr>
          <w:rFonts w:ascii="仿宋" w:hAnsi="仿宋" w:eastAsia="仿宋" w:cs="仿宋"/>
          <w:sz w:val="32"/>
          <w:szCs w:val="32"/>
        </w:rPr>
      </w:pPr>
      <w:r>
        <w:rPr>
          <w:rFonts w:hint="eastAsia" w:ascii="仿宋" w:hAnsi="仿宋" w:eastAsia="仿宋" w:cs="华文仿宋"/>
          <w:spacing w:val="5"/>
          <w:kern w:val="0"/>
          <w:sz w:val="32"/>
          <w:szCs w:val="32"/>
        </w:rPr>
        <w:t>（二）</w:t>
      </w:r>
      <w:r>
        <w:rPr>
          <w:rFonts w:hint="eastAsia" w:ascii="仿宋" w:hAnsi="仿宋" w:eastAsia="仿宋" w:cs="仿宋"/>
          <w:sz w:val="32"/>
          <w:szCs w:val="32"/>
        </w:rPr>
        <w:t>报名咨询</w:t>
      </w:r>
      <w:r>
        <w:rPr>
          <w:rFonts w:ascii="仿宋" w:hAnsi="仿宋" w:eastAsia="仿宋" w:cs="仿宋"/>
          <w:sz w:val="32"/>
          <w:szCs w:val="32"/>
        </w:rPr>
        <w:t>：</w:t>
      </w:r>
      <w:r>
        <w:rPr>
          <w:rFonts w:hint="eastAsia" w:ascii="仿宋" w:hAnsi="仿宋" w:eastAsia="仿宋" w:cs="仿宋"/>
          <w:sz w:val="32"/>
          <w:szCs w:val="32"/>
          <w:lang w:val="en-US" w:eastAsia="zh-CN"/>
        </w:rPr>
        <w:t>彭</w:t>
      </w:r>
      <w:r>
        <w:rPr>
          <w:rFonts w:ascii="仿宋" w:hAnsi="仿宋" w:eastAsia="仿宋" w:cs="仿宋"/>
          <w:sz w:val="32"/>
          <w:szCs w:val="32"/>
        </w:rPr>
        <w:t>老师</w:t>
      </w:r>
    </w:p>
    <w:p>
      <w:pPr>
        <w:ind w:firstLine="960" w:firstLineChars="300"/>
        <w:rPr>
          <w:rFonts w:hint="default" w:ascii="仿宋" w:hAnsi="仿宋" w:eastAsia="仿宋" w:cs="仿宋"/>
          <w:sz w:val="32"/>
          <w:szCs w:val="32"/>
          <w:lang w:val="en-US" w:eastAsia="zh-CN"/>
        </w:rPr>
      </w:pPr>
      <w:r>
        <w:rPr>
          <w:rFonts w:hint="eastAsia" w:ascii="仿宋" w:hAnsi="仿宋" w:eastAsia="仿宋" w:cs="仿宋"/>
          <w:sz w:val="32"/>
          <w:szCs w:val="32"/>
        </w:rPr>
        <w:t>电话：031185518265</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rPr>
        <w:t>邮箱</w:t>
      </w:r>
      <w:r>
        <w:rPr>
          <w:rFonts w:ascii="仿宋" w:hAnsi="仿宋" w:eastAsia="仿宋" w:cs="仿宋"/>
          <w:sz w:val="32"/>
          <w:szCs w:val="32"/>
        </w:rPr>
        <w:t>：</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"mailto:he.pengchengcheng@aisino.com" </w:instrText>
      </w:r>
      <w:r>
        <w:rPr>
          <w:rFonts w:hint="eastAsia" w:ascii="仿宋" w:hAnsi="仿宋" w:eastAsia="仿宋" w:cs="仿宋"/>
          <w:sz w:val="32"/>
          <w:szCs w:val="32"/>
          <w:lang w:val="en-US" w:eastAsia="zh-CN"/>
        </w:rPr>
        <w:fldChar w:fldCharType="separate"/>
      </w:r>
      <w:r>
        <w:rPr>
          <w:rStyle w:val="6"/>
          <w:rFonts w:hint="eastAsia" w:ascii="仿宋" w:hAnsi="仿宋" w:eastAsia="仿宋" w:cs="仿宋"/>
          <w:sz w:val="32"/>
          <w:szCs w:val="32"/>
          <w:lang w:val="en-US" w:eastAsia="zh-CN"/>
        </w:rPr>
        <w:t>he.pengchengcheng@aisino.com</w:t>
      </w:r>
      <w:r>
        <w:rPr>
          <w:rFonts w:hint="eastAsia" w:ascii="仿宋" w:hAnsi="仿宋" w:eastAsia="仿宋" w:cs="仿宋"/>
          <w:sz w:val="32"/>
          <w:szCs w:val="32"/>
          <w:lang w:val="en-US" w:eastAsia="zh-CN"/>
        </w:rPr>
        <w:fldChar w:fldCharType="end"/>
      </w:r>
    </w:p>
    <w:p>
      <w:pPr>
        <w:numPr>
          <w:ilvl w:val="0"/>
          <w:numId w:val="3"/>
        </w:numPr>
        <w:ind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北京国家会计学院：姜老师</w:t>
      </w:r>
    </w:p>
    <w:p>
      <w:pPr>
        <w:widowControl/>
        <w:shd w:val="clear" w:color="auto" w:fill="FFFFFF"/>
        <w:spacing w:line="360" w:lineRule="auto"/>
        <w:ind w:firstLine="990" w:firstLineChars="300"/>
        <w:rPr>
          <w:rFonts w:hint="default" w:ascii="仿宋" w:hAnsi="仿宋" w:eastAsia="仿宋" w:cs="华文仿宋"/>
          <w:spacing w:val="5"/>
          <w:kern w:val="0"/>
          <w:sz w:val="32"/>
          <w:szCs w:val="32"/>
          <w:lang w:val="en-US" w:eastAsia="zh-CN"/>
        </w:rPr>
      </w:pPr>
      <w:r>
        <w:rPr>
          <w:rFonts w:hint="eastAsia" w:ascii="仿宋" w:hAnsi="仿宋" w:eastAsia="仿宋" w:cs="华文仿宋"/>
          <w:spacing w:val="5"/>
          <w:kern w:val="0"/>
          <w:sz w:val="32"/>
          <w:szCs w:val="32"/>
        </w:rPr>
        <w:t>电话：</w:t>
      </w:r>
      <w:r>
        <w:rPr>
          <w:rFonts w:hint="eastAsia" w:ascii="仿宋" w:hAnsi="仿宋" w:eastAsia="仿宋" w:cs="华文仿宋"/>
          <w:spacing w:val="5"/>
          <w:kern w:val="0"/>
          <w:sz w:val="32"/>
          <w:szCs w:val="32"/>
          <w:lang w:val="en-US" w:eastAsia="zh-CN"/>
        </w:rPr>
        <w:t>01064505048</w:t>
      </w:r>
    </w:p>
    <w:p>
      <w:pPr>
        <w:widowControl/>
        <w:shd w:val="clear" w:color="auto" w:fill="FFFFFF"/>
        <w:spacing w:line="360" w:lineRule="auto"/>
        <w:ind w:firstLine="990" w:firstLineChars="300"/>
        <w:rPr>
          <w:rFonts w:hint="default" w:ascii="仿宋" w:hAnsi="仿宋" w:eastAsia="仿宋" w:cs="华文仿宋"/>
          <w:spacing w:val="5"/>
          <w:kern w:val="0"/>
          <w:sz w:val="32"/>
          <w:szCs w:val="32"/>
          <w:lang w:val="en-US" w:eastAsia="zh-CN"/>
        </w:rPr>
      </w:pPr>
      <w:r>
        <w:rPr>
          <w:rFonts w:hint="eastAsia" w:ascii="仿宋" w:hAnsi="仿宋" w:eastAsia="仿宋" w:cs="华文仿宋"/>
          <w:spacing w:val="5"/>
          <w:kern w:val="0"/>
          <w:sz w:val="32"/>
          <w:szCs w:val="32"/>
        </w:rPr>
        <w:t>邮箱：</w:t>
      </w:r>
      <w:r>
        <w:rPr>
          <w:rFonts w:hint="eastAsia" w:ascii="仿宋" w:hAnsi="仿宋" w:eastAsia="仿宋" w:cs="华文仿宋"/>
          <w:spacing w:val="5"/>
          <w:kern w:val="0"/>
          <w:sz w:val="32"/>
          <w:szCs w:val="32"/>
          <w:lang w:val="en-US" w:eastAsia="zh-CN"/>
        </w:rPr>
        <w:t>jiangy@nai.edu.cn</w:t>
      </w:r>
    </w:p>
    <w:p>
      <w:pPr>
        <w:numPr>
          <w:ilvl w:val="-1"/>
          <w:numId w:val="0"/>
        </w:numPr>
        <w:ind w:firstLine="0" w:firstLineChars="0"/>
        <w:rPr>
          <w:rFonts w:hint="default" w:ascii="仿宋" w:hAnsi="仿宋" w:eastAsia="仿宋" w:cs="仿宋"/>
          <w:sz w:val="32"/>
          <w:szCs w:val="32"/>
          <w:lang w:val="en-US" w:eastAsia="zh-CN"/>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jc w:val="right"/>
        <w:rPr>
          <w:rFonts w:ascii="仿宋" w:hAnsi="仿宋" w:eastAsia="仿宋" w:cs="仿宋"/>
          <w:b/>
          <w:sz w:val="32"/>
          <w:szCs w:val="32"/>
        </w:rPr>
      </w:pPr>
      <w:r>
        <w:rPr>
          <w:rFonts w:hint="eastAsia" w:ascii="仿宋" w:hAnsi="仿宋" w:eastAsia="仿宋" w:cs="仿宋"/>
          <w:b/>
          <w:sz w:val="32"/>
          <w:szCs w:val="32"/>
        </w:rPr>
        <w:t>北京国家会计学院教务部</w:t>
      </w:r>
    </w:p>
    <w:p>
      <w:pPr>
        <w:wordWrap w:val="0"/>
        <w:jc w:val="right"/>
        <w:rPr>
          <w:rFonts w:ascii="仿宋" w:hAnsi="仿宋" w:eastAsia="仿宋" w:cs="仿宋"/>
          <w:sz w:val="30"/>
          <w:szCs w:val="30"/>
        </w:rPr>
      </w:pPr>
      <w:r>
        <w:rPr>
          <w:rFonts w:hint="eastAsia" w:ascii="仿宋" w:hAnsi="仿宋" w:eastAsia="仿宋" w:cs="仿宋"/>
          <w:b/>
          <w:sz w:val="32"/>
          <w:szCs w:val="32"/>
        </w:rPr>
        <w:t>2024年</w:t>
      </w:r>
      <w:r>
        <w:rPr>
          <w:rFonts w:hint="eastAsia" w:ascii="仿宋" w:hAnsi="仿宋" w:eastAsia="仿宋" w:cs="仿宋"/>
          <w:b/>
          <w:sz w:val="32"/>
          <w:szCs w:val="32"/>
          <w:lang w:val="en-US" w:eastAsia="zh-CN"/>
        </w:rPr>
        <w:t>7</w:t>
      </w:r>
      <w:r>
        <w:rPr>
          <w:rFonts w:hint="eastAsia" w:ascii="仿宋" w:hAnsi="仿宋" w:eastAsia="仿宋" w:cs="仿宋"/>
          <w:b/>
          <w:sz w:val="32"/>
          <w:szCs w:val="32"/>
        </w:rPr>
        <w:t>月</w:t>
      </w:r>
      <w:r>
        <w:rPr>
          <w:rFonts w:hint="eastAsia" w:ascii="仿宋" w:hAnsi="仿宋" w:eastAsia="仿宋" w:cs="仿宋"/>
          <w:b/>
          <w:sz w:val="30"/>
          <w:szCs w:val="30"/>
        </w:rPr>
        <w:t xml:space="preserve">  </w:t>
      </w:r>
      <w:r>
        <w:rPr>
          <w:rFonts w:hint="eastAsia" w:ascii="仿宋" w:hAnsi="仿宋" w:eastAsia="仿宋" w:cs="仿宋"/>
          <w:sz w:val="30"/>
          <w:szCs w:val="30"/>
        </w:rPr>
        <w:t xml:space="preserve">  </w:t>
      </w:r>
    </w:p>
    <w:p>
      <w:pPr>
        <w:spacing w:line="440" w:lineRule="exact"/>
        <w:jc w:val="both"/>
        <w:rPr>
          <w:rFonts w:ascii="仿宋" w:hAnsi="仿宋" w:eastAsia="仿宋" w:cs="宋体"/>
          <w:b/>
          <w:bCs/>
          <w:kern w:val="0"/>
          <w:sz w:val="30"/>
          <w:szCs w:val="30"/>
        </w:rPr>
      </w:pPr>
    </w:p>
    <w:p>
      <w:pPr>
        <w:rPr>
          <w:rFonts w:ascii="仿宋" w:hAnsi="仿宋" w:eastAsia="仿宋" w:cs="宋体"/>
          <w:b/>
          <w:bCs/>
          <w:kern w:val="0"/>
          <w:sz w:val="30"/>
          <w:szCs w:val="30"/>
        </w:rPr>
      </w:pPr>
      <w:r>
        <w:rPr>
          <w:rFonts w:ascii="仿宋" w:hAnsi="仿宋" w:eastAsia="仿宋" w:cs="宋体"/>
          <w:b/>
          <w:bCs/>
          <w:kern w:val="0"/>
          <w:sz w:val="30"/>
          <w:szCs w:val="30"/>
        </w:rPr>
        <w:br w:type="page"/>
      </w:r>
    </w:p>
    <w:p>
      <w:pPr>
        <w:spacing w:line="440" w:lineRule="exact"/>
        <w:jc w:val="center"/>
        <w:rPr>
          <w:rFonts w:hint="eastAsia" w:ascii="仿宋" w:hAnsi="仿宋" w:eastAsia="仿宋" w:cs="宋体"/>
          <w:b/>
          <w:bCs/>
          <w:kern w:val="0"/>
          <w:sz w:val="36"/>
          <w:szCs w:val="36"/>
        </w:rPr>
      </w:pPr>
      <w:r>
        <w:rPr>
          <w:rFonts w:hint="eastAsia" w:ascii="仿宋" w:hAnsi="仿宋" w:eastAsia="仿宋" w:cs="宋体"/>
          <w:b/>
          <w:bCs/>
          <w:kern w:val="0"/>
          <w:sz w:val="36"/>
          <w:szCs w:val="36"/>
        </w:rPr>
        <w:t>2024年《现代代理记账业务与管理创新：政策解读与</w:t>
      </w:r>
      <w:r>
        <w:rPr>
          <w:rFonts w:hint="eastAsia" w:ascii="仿宋" w:hAnsi="仿宋" w:eastAsia="仿宋" w:cs="宋体"/>
          <w:b/>
          <w:bCs/>
          <w:kern w:val="0"/>
          <w:sz w:val="36"/>
          <w:szCs w:val="36"/>
          <w:lang w:val="en-US" w:eastAsia="zh-CN"/>
        </w:rPr>
        <w:t>合规管理</w:t>
      </w:r>
      <w:bookmarkStart w:id="0" w:name="_GoBack"/>
      <w:bookmarkEnd w:id="0"/>
      <w:r>
        <w:rPr>
          <w:rFonts w:hint="eastAsia" w:ascii="仿宋" w:hAnsi="仿宋" w:eastAsia="仿宋" w:cs="宋体"/>
          <w:b/>
          <w:bCs/>
          <w:kern w:val="0"/>
          <w:sz w:val="36"/>
          <w:szCs w:val="36"/>
        </w:rPr>
        <w:t xml:space="preserve">》高级研修班 </w:t>
      </w:r>
    </w:p>
    <w:p>
      <w:pPr>
        <w:spacing w:line="440" w:lineRule="exact"/>
        <w:jc w:val="center"/>
        <w:rPr>
          <w:rFonts w:ascii="仿宋" w:hAnsi="仿宋" w:eastAsia="仿宋" w:cs="宋体"/>
          <w:b/>
          <w:bCs/>
          <w:kern w:val="0"/>
          <w:sz w:val="36"/>
          <w:szCs w:val="36"/>
        </w:rPr>
      </w:pPr>
      <w:r>
        <w:rPr>
          <w:rFonts w:hint="eastAsia" w:ascii="仿宋" w:hAnsi="仿宋" w:eastAsia="仿宋" w:cs="宋体"/>
          <w:b/>
          <w:bCs/>
          <w:kern w:val="0"/>
          <w:sz w:val="36"/>
          <w:szCs w:val="36"/>
        </w:rPr>
        <w:t>报名回执表</w:t>
      </w:r>
    </w:p>
    <w:tbl>
      <w:tblPr>
        <w:tblStyle w:val="3"/>
        <w:tblpPr w:leftFromText="180" w:rightFromText="180" w:vertAnchor="text" w:horzAnchor="page" w:tblpX="1455" w:tblpY="156"/>
        <w:tblOverlap w:val="never"/>
        <w:tblW w:w="930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42"/>
        <w:gridCol w:w="709"/>
        <w:gridCol w:w="709"/>
        <w:gridCol w:w="709"/>
        <w:gridCol w:w="1701"/>
        <w:gridCol w:w="1785"/>
        <w:gridCol w:w="75"/>
        <w:gridCol w:w="237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8"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before="156" w:after="156"/>
              <w:rPr>
                <w:rFonts w:ascii="仿宋" w:hAnsi="仿宋" w:eastAsia="仿宋" w:cs="Times New Roman"/>
                <w:color w:val="58595B"/>
                <w:sz w:val="24"/>
                <w:szCs w:val="24"/>
              </w:rPr>
            </w:pPr>
            <w:r>
              <w:rPr>
                <w:rFonts w:hint="eastAsia" w:ascii="仿宋" w:hAnsi="仿宋" w:eastAsia="仿宋" w:cs="Times New Roman"/>
                <w:color w:val="000000"/>
                <w:sz w:val="24"/>
                <w:szCs w:val="24"/>
              </w:rPr>
              <w:t>单位名称</w:t>
            </w:r>
          </w:p>
        </w:tc>
        <w:tc>
          <w:tcPr>
            <w:tcW w:w="382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Times New Roman"/>
                <w:color w:val="58595B"/>
                <w:sz w:val="24"/>
                <w:szCs w:val="24"/>
              </w:rPr>
            </w:pPr>
            <w:r>
              <w:rPr>
                <w:rFonts w:ascii="仿宋" w:hAnsi="仿宋" w:eastAsia="仿宋" w:cs="Times New Roman"/>
                <w:color w:val="000000"/>
                <w:sz w:val="24"/>
                <w:szCs w:val="24"/>
              </w:rPr>
              <w:t xml:space="preserve"> </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Times New Roman"/>
                <w:color w:val="58595B"/>
                <w:sz w:val="24"/>
                <w:szCs w:val="24"/>
              </w:rPr>
            </w:pPr>
            <w:r>
              <w:rPr>
                <w:rFonts w:hint="eastAsia" w:ascii="仿宋" w:hAnsi="仿宋" w:eastAsia="仿宋" w:cs="Times New Roman"/>
                <w:color w:val="000000"/>
                <w:sz w:val="24"/>
                <w:szCs w:val="24"/>
              </w:rPr>
              <w:t>传真号码</w:t>
            </w:r>
          </w:p>
        </w:tc>
        <w:tc>
          <w:tcPr>
            <w:tcW w:w="24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jc w:val="center"/>
              <w:rPr>
                <w:rFonts w:ascii="仿宋" w:hAnsi="仿宋" w:eastAsia="仿宋" w:cs="Times New Roman"/>
                <w:color w:val="58595B"/>
                <w:sz w:val="24"/>
                <w:szCs w:val="24"/>
              </w:rPr>
            </w:pPr>
            <w:r>
              <w:rPr>
                <w:rFonts w:ascii="仿宋" w:hAnsi="仿宋" w:eastAsia="仿宋" w:cs="Times New Roman"/>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仿宋" w:hAnsi="仿宋" w:eastAsia="仿宋" w:cs="Times New Roman"/>
                <w:color w:val="58595B"/>
                <w:sz w:val="24"/>
                <w:szCs w:val="24"/>
              </w:rPr>
            </w:pPr>
            <w:r>
              <w:rPr>
                <w:rFonts w:ascii="仿宋" w:hAnsi="仿宋" w:eastAsia="仿宋" w:cs="Times New Roman"/>
                <w:color w:val="000000"/>
                <w:sz w:val="24"/>
                <w:szCs w:val="24"/>
              </w:rPr>
              <w:t>联系人</w:t>
            </w:r>
          </w:p>
        </w:tc>
        <w:tc>
          <w:tcPr>
            <w:tcW w:w="1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仿宋" w:hAnsi="仿宋" w:eastAsia="仿宋" w:cs="Times New Roman"/>
                <w:color w:val="58595B"/>
                <w:sz w:val="24"/>
                <w:szCs w:val="24"/>
              </w:rPr>
            </w:pPr>
            <w:r>
              <w:rPr>
                <w:rFonts w:ascii="仿宋" w:hAnsi="仿宋" w:eastAsia="仿宋" w:cs="Times New Roman"/>
                <w:color w:val="000000"/>
                <w:spacing w:val="-26"/>
                <w:sz w:val="24"/>
                <w:szCs w:val="24"/>
              </w:rPr>
              <w:t xml:space="preserve"> </w:t>
            </w:r>
          </w:p>
        </w:tc>
        <w:tc>
          <w:tcPr>
            <w:tcW w:w="241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仿宋" w:hAnsi="仿宋" w:eastAsia="仿宋" w:cs="Times New Roman"/>
                <w:color w:val="58595B"/>
                <w:sz w:val="24"/>
                <w:szCs w:val="24"/>
              </w:rPr>
            </w:pPr>
            <w:r>
              <w:rPr>
                <w:rFonts w:ascii="仿宋" w:hAnsi="仿宋" w:eastAsia="仿宋" w:cs="Times New Roman"/>
                <w:color w:val="000000"/>
                <w:sz w:val="24"/>
                <w:szCs w:val="24"/>
              </w:rPr>
              <w:t>联系方式</w:t>
            </w:r>
          </w:p>
        </w:tc>
        <w:tc>
          <w:tcPr>
            <w:tcW w:w="423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仿宋" w:hAnsi="仿宋" w:eastAsia="仿宋" w:cs="Times New Roman"/>
                <w:color w:val="58595B"/>
                <w:sz w:val="24"/>
                <w:szCs w:val="24"/>
              </w:rPr>
            </w:pPr>
            <w:r>
              <w:rPr>
                <w:rFonts w:ascii="仿宋" w:hAnsi="仿宋" w:eastAsia="仿宋" w:cs="Times New Roman"/>
                <w:color w:val="0000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rPr>
                <w:rFonts w:ascii="仿宋" w:hAnsi="仿宋" w:eastAsia="仿宋" w:cs="Times New Roman"/>
                <w:color w:val="000000"/>
                <w:sz w:val="24"/>
                <w:szCs w:val="24"/>
              </w:rPr>
            </w:pPr>
            <w:r>
              <w:rPr>
                <w:rFonts w:hint="eastAsia" w:ascii="仿宋" w:hAnsi="仿宋" w:eastAsia="仿宋" w:cs="Times New Roman"/>
                <w:color w:val="000000"/>
                <w:sz w:val="24"/>
                <w:szCs w:val="24"/>
              </w:rPr>
              <w:t>学员姓名</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仿宋" w:hAnsi="仿宋" w:eastAsia="仿宋" w:cs="Times New Roman"/>
                <w:color w:val="000000"/>
                <w:spacing w:val="-26"/>
                <w:sz w:val="24"/>
                <w:szCs w:val="24"/>
              </w:rPr>
            </w:pPr>
            <w:r>
              <w:rPr>
                <w:rFonts w:ascii="仿宋" w:hAnsi="仿宋" w:eastAsia="仿宋" w:cs="Times New Roman"/>
                <w:color w:val="000000"/>
                <w:spacing w:val="-26"/>
                <w:sz w:val="24"/>
                <w:szCs w:val="24"/>
              </w:rPr>
              <w:t>性别</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仿宋" w:hAnsi="仿宋" w:eastAsia="仿宋" w:cs="Times New Roman"/>
                <w:color w:val="000000"/>
                <w:spacing w:val="-26"/>
                <w:sz w:val="24"/>
                <w:szCs w:val="24"/>
              </w:rPr>
            </w:pPr>
            <w:r>
              <w:rPr>
                <w:rFonts w:ascii="仿宋" w:hAnsi="仿宋" w:eastAsia="仿宋" w:cs="Times New Roman"/>
                <w:color w:val="000000"/>
                <w:spacing w:val="-26"/>
                <w:sz w:val="24"/>
                <w:szCs w:val="24"/>
              </w:rPr>
              <w:t>部门</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仿宋" w:hAnsi="仿宋" w:eastAsia="仿宋" w:cs="Times New Roman"/>
                <w:color w:val="000000"/>
                <w:sz w:val="24"/>
                <w:szCs w:val="24"/>
              </w:rPr>
            </w:pPr>
            <w:r>
              <w:rPr>
                <w:rFonts w:ascii="仿宋" w:hAnsi="仿宋" w:eastAsia="仿宋" w:cs="Times New Roman"/>
                <w:color w:val="000000"/>
                <w:sz w:val="24"/>
                <w:szCs w:val="24"/>
              </w:rPr>
              <w:t xml:space="preserve">职务 </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仿宋" w:hAnsi="仿宋" w:eastAsia="仿宋" w:cs="Times New Roman"/>
                <w:color w:val="000000"/>
                <w:sz w:val="24"/>
                <w:szCs w:val="24"/>
              </w:rPr>
            </w:pPr>
            <w:r>
              <w:rPr>
                <w:rFonts w:ascii="仿宋" w:hAnsi="仿宋" w:eastAsia="仿宋" w:cs="Times New Roman"/>
                <w:color w:val="000000"/>
                <w:sz w:val="24"/>
                <w:szCs w:val="24"/>
              </w:rPr>
              <w:t xml:space="preserve">联系电话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仿宋" w:hAnsi="仿宋" w:eastAsia="仿宋" w:cs="Times New Roman"/>
                <w:color w:val="000000"/>
                <w:sz w:val="24"/>
                <w:szCs w:val="24"/>
              </w:rPr>
            </w:pPr>
            <w:r>
              <w:rPr>
                <w:rFonts w:ascii="仿宋" w:hAnsi="仿宋" w:eastAsia="仿宋" w:cs="Times New Roman"/>
                <w:color w:val="000000"/>
                <w:sz w:val="24"/>
                <w:szCs w:val="24"/>
              </w:rPr>
              <w:t>手机号码</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仿宋" w:hAnsi="仿宋" w:eastAsia="仿宋" w:cs="Times New Roman"/>
                <w:color w:val="000000"/>
                <w:sz w:val="24"/>
                <w:szCs w:val="24"/>
              </w:rPr>
            </w:pPr>
            <w:r>
              <w:rPr>
                <w:rFonts w:ascii="仿宋" w:hAnsi="仿宋" w:eastAsia="仿宋" w:cs="Times New Roman"/>
                <w:color w:val="000000"/>
                <w:sz w:val="24"/>
                <w:szCs w:val="24"/>
              </w:rPr>
              <w:t>电子邮箱</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Arial" w:hAnsi="宋体" w:eastAsia="宋体" w:cs="Times New Roman"/>
                <w:color w:val="58595B"/>
                <w:szCs w:val="21"/>
              </w:rPr>
            </w:pPr>
            <w:r>
              <w:rPr>
                <w:rFonts w:ascii="Calibri" w:hAnsi="宋体" w:eastAsia="宋体" w:cs="Times New Roman"/>
                <w:b/>
                <w:color w:val="000000"/>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Arial" w:hAnsi="宋体" w:eastAsia="宋体" w:cs="Times New Roman"/>
                <w:color w:val="58595B"/>
                <w:szCs w:val="21"/>
              </w:rPr>
            </w:pPr>
            <w:r>
              <w:rPr>
                <w:rFonts w:ascii="Calibri" w:hAnsi="宋体" w:eastAsia="宋体" w:cs="Times New Roman"/>
                <w:b/>
                <w:color w:val="000000"/>
                <w:spacing w:val="-26"/>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Arial" w:hAnsi="宋体" w:eastAsia="宋体" w:cs="Times New Roman"/>
                <w:color w:val="58595B"/>
                <w:szCs w:val="21"/>
              </w:rPr>
            </w:pPr>
            <w:r>
              <w:rPr>
                <w:rFonts w:ascii="Calibri" w:hAnsi="宋体" w:eastAsia="宋体" w:cs="Times New Roman"/>
                <w:b/>
                <w:color w:val="000000"/>
                <w:spacing w:val="-26"/>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Arial" w:hAnsi="宋体" w:eastAsia="宋体" w:cs="Times New Roman"/>
                <w:color w:val="58595B"/>
                <w:szCs w:val="21"/>
              </w:rPr>
            </w:pPr>
            <w:r>
              <w:rPr>
                <w:rFonts w:ascii="Calibri" w:hAnsi="宋体" w:eastAsia="宋体" w:cs="Times New Roman"/>
                <w:b/>
                <w:color w:val="000000"/>
                <w:szCs w:val="21"/>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Arial" w:hAnsi="宋体" w:eastAsia="宋体" w:cs="Times New Roman"/>
                <w:color w:val="58595B"/>
                <w:szCs w:val="21"/>
              </w:rPr>
            </w:pPr>
            <w:r>
              <w:rPr>
                <w:rFonts w:ascii="Calibri" w:hAnsi="宋体" w:eastAsia="宋体" w:cs="Times New Roman"/>
                <w:b/>
                <w:color w:val="000000"/>
                <w:szCs w:val="21"/>
              </w:rPr>
              <w:t xml:space="preserve">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Arial" w:hAnsi="宋体" w:eastAsia="宋体" w:cs="Times New Roman"/>
                <w:color w:val="58595B"/>
                <w:szCs w:val="21"/>
              </w:rPr>
            </w:pPr>
            <w:r>
              <w:rPr>
                <w:rFonts w:ascii="Calibri" w:hAnsi="宋体" w:eastAsia="宋体" w:cs="Times New Roman"/>
                <w:b/>
                <w:color w:val="000000"/>
                <w:szCs w:val="21"/>
              </w:rPr>
              <w:t xml:space="preserve"> </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Arial" w:hAnsi="宋体" w:eastAsia="宋体" w:cs="Times New Roman"/>
                <w:color w:val="58595B"/>
                <w:szCs w:val="21"/>
              </w:rPr>
            </w:pPr>
            <w:r>
              <w:rPr>
                <w:rFonts w:ascii="Calibri" w:hAnsi="宋体" w:eastAsia="宋体" w:cs="Times New Roman"/>
                <w:color w:val="000000"/>
                <w:szCs w:val="21"/>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Calibri" w:hAnsi="宋体" w:eastAsia="宋体" w:cs="Times New Roman"/>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Calibri"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Calibri" w:hAnsi="宋体" w:eastAsia="宋体" w:cs="Times New Roman"/>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Calibri"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Calibri" w:hAnsi="宋体" w:eastAsia="宋体" w:cs="Times New Roman"/>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Calibri"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Calibri" w:hAnsi="宋体" w:eastAsia="宋体" w:cs="Times New Roman"/>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Calibri"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Calibri" w:hAnsi="宋体" w:eastAsia="宋体" w:cs="Times New Roman"/>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Calibri"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Calibri" w:hAnsi="宋体" w:eastAsia="宋体" w:cs="Times New Roman"/>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Calibri"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Calibri" w:hAnsi="宋体" w:eastAsia="宋体" w:cs="Times New Roman"/>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Calibri"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Calibri" w:hAnsi="宋体" w:eastAsia="宋体" w:cs="Times New Roman"/>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Calibri"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Calibri" w:hAnsi="宋体" w:eastAsia="宋体" w:cs="Times New Roman"/>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rPr>
                <w:rFonts w:ascii="Calibri" w:hAnsi="宋体" w:eastAsia="宋体" w:cs="Times New Roman"/>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jc w:val="center"/>
              <w:rPr>
                <w:rFonts w:ascii="Calibri" w:hAnsi="宋体" w:eastAsia="宋体" w:cs="Times New Roman"/>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Calibri" w:hAnsi="宋体" w:eastAsia="宋体" w:cs="Times New Roman"/>
                <w:color w:val="000000"/>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spacing w:before="156" w:after="156"/>
              <w:jc w:val="center"/>
              <w:rPr>
                <w:rFonts w:ascii="仿宋" w:hAnsi="仿宋" w:eastAsia="仿宋" w:cs="Times New Roman"/>
                <w:b/>
                <w:color w:val="000000"/>
                <w:szCs w:val="21"/>
              </w:rPr>
            </w:pPr>
            <w:r>
              <w:rPr>
                <w:rFonts w:hint="eastAsia" w:ascii="仿宋" w:hAnsi="仿宋" w:eastAsia="仿宋" w:cs="Times New Roman"/>
                <w:b/>
                <w:color w:val="000000"/>
                <w:szCs w:val="21"/>
              </w:rPr>
              <w:t>课程选择</w:t>
            </w:r>
          </w:p>
        </w:tc>
        <w:tc>
          <w:tcPr>
            <w:tcW w:w="806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360"/>
                <w:tab w:val="left" w:pos="540"/>
              </w:tabs>
              <w:autoSpaceDN w:val="0"/>
              <w:ind w:left="27"/>
              <w:jc w:val="center"/>
              <w:rPr>
                <w:rFonts w:ascii="仿宋" w:hAnsi="仿宋" w:eastAsia="仿宋" w:cs="Times New Roman"/>
                <w:b/>
                <w:color w:val="000000"/>
                <w:szCs w:val="21"/>
              </w:rPr>
            </w:pPr>
            <w:r>
              <w:rPr>
                <w:rFonts w:hint="eastAsia" w:ascii="仿宋" w:hAnsi="仿宋" w:eastAsia="仿宋" w:cs="Times New Roman"/>
                <w:szCs w:val="22"/>
              </w:rPr>
              <w:t>开班时间：</w:t>
            </w:r>
            <w:r>
              <w:rPr>
                <w:rFonts w:hint="eastAsia" w:ascii="仿宋" w:hAnsi="仿宋" w:eastAsia="仿宋" w:cs="Times New Roman"/>
                <w:szCs w:val="22"/>
                <w:u w:val="single"/>
              </w:rPr>
              <w:t xml:space="preserve"> </w:t>
            </w:r>
            <w:r>
              <w:rPr>
                <w:rFonts w:ascii="仿宋" w:hAnsi="仿宋" w:eastAsia="仿宋" w:cs="Times New Roman"/>
                <w:szCs w:val="22"/>
                <w:u w:val="single"/>
              </w:rPr>
              <w:t xml:space="preserve">       </w:t>
            </w:r>
            <w:r>
              <w:rPr>
                <w:rFonts w:hint="eastAsia" w:ascii="仿宋" w:hAnsi="仿宋" w:eastAsia="仿宋" w:cs="Times New Roman"/>
                <w:szCs w:val="22"/>
              </w:rPr>
              <w:t>月；期数：第</w:t>
            </w:r>
            <w:r>
              <w:rPr>
                <w:rFonts w:hint="eastAsia" w:ascii="仿宋" w:hAnsi="仿宋" w:eastAsia="仿宋" w:cs="Times New Roman"/>
                <w:szCs w:val="22"/>
                <w:u w:val="single"/>
              </w:rPr>
              <w:t xml:space="preserve"> </w:t>
            </w:r>
            <w:r>
              <w:rPr>
                <w:rFonts w:ascii="仿宋" w:hAnsi="仿宋" w:eastAsia="仿宋" w:cs="Times New Roman"/>
                <w:szCs w:val="22"/>
                <w:u w:val="single"/>
              </w:rPr>
              <w:t xml:space="preserve">      </w:t>
            </w:r>
            <w:r>
              <w:rPr>
                <w:rFonts w:hint="eastAsia" w:ascii="仿宋" w:hAnsi="仿宋" w:eastAsia="仿宋" w:cs="Times New Roman"/>
                <w:szCs w:val="22"/>
              </w:rPr>
              <w:t>期（请在横线中填写）</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57" w:hRule="atLeast"/>
        </w:trPr>
        <w:tc>
          <w:tcPr>
            <w:tcW w:w="9302"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rPr>
                <w:rFonts w:ascii="仿宋" w:hAnsi="仿宋" w:eastAsia="仿宋" w:cs="宋体"/>
                <w:b/>
                <w:sz w:val="24"/>
                <w:szCs w:val="24"/>
              </w:rPr>
            </w:pPr>
            <w:r>
              <w:rPr>
                <w:rFonts w:hint="eastAsia" w:ascii="仿宋" w:hAnsi="仿宋" w:eastAsia="仿宋" w:cs="宋体"/>
                <w:b/>
                <w:sz w:val="24"/>
                <w:szCs w:val="24"/>
              </w:rPr>
              <w:t>报名咨询：</w:t>
            </w:r>
          </w:p>
          <w:p>
            <w:pPr>
              <w:spacing w:line="360" w:lineRule="auto"/>
              <w:rPr>
                <w:rFonts w:ascii="仿宋" w:hAnsi="仿宋" w:eastAsia="仿宋" w:cs="宋体"/>
                <w:sz w:val="24"/>
                <w:szCs w:val="24"/>
                <w:highlight w:val="none"/>
              </w:rPr>
            </w:pPr>
            <w:r>
              <w:rPr>
                <w:rFonts w:hint="eastAsia" w:ascii="仿宋" w:hAnsi="仿宋" w:eastAsia="仿宋" w:cs="宋体"/>
                <w:sz w:val="24"/>
                <w:szCs w:val="24"/>
              </w:rPr>
              <w:t>联系人：彭老师</w:t>
            </w:r>
            <w:r>
              <w:rPr>
                <w:rFonts w:hint="eastAsia" w:ascii="仿宋" w:hAnsi="仿宋" w:eastAsia="仿宋" w:cs="宋体"/>
                <w:sz w:val="24"/>
                <w:szCs w:val="24"/>
                <w:highlight w:val="none"/>
              </w:rPr>
              <w:t xml:space="preserve">   </w:t>
            </w:r>
            <w:r>
              <w:rPr>
                <w:rFonts w:hint="eastAsia" w:ascii="仿宋" w:hAnsi="仿宋" w:eastAsia="仿宋" w:cs="宋体"/>
                <w:sz w:val="24"/>
                <w:szCs w:val="24"/>
                <w:highlight w:val="none"/>
                <w:lang w:val="en-US" w:eastAsia="zh-CN"/>
              </w:rPr>
              <w:t>电话</w:t>
            </w:r>
            <w:r>
              <w:rPr>
                <w:rFonts w:hint="eastAsia" w:ascii="仿宋" w:hAnsi="仿宋" w:eastAsia="仿宋" w:cs="宋体"/>
                <w:sz w:val="24"/>
                <w:szCs w:val="24"/>
                <w:highlight w:val="none"/>
              </w:rPr>
              <w:t>：031185518265   邮箱：he.pengchengcheng@aisino.com</w:t>
            </w:r>
          </w:p>
          <w:p>
            <w:pPr>
              <w:spacing w:line="360" w:lineRule="auto"/>
              <w:rPr>
                <w:rFonts w:hint="default" w:ascii="仿宋" w:hAnsi="仿宋" w:eastAsia="仿宋" w:cs="宋体"/>
                <w:b/>
                <w:color w:val="000000"/>
                <w:kern w:val="0"/>
                <w:szCs w:val="21"/>
                <w:lang w:val="en-US" w:eastAsia="zh-CN"/>
              </w:rPr>
            </w:pPr>
            <w:r>
              <w:rPr>
                <w:rFonts w:hint="eastAsia" w:ascii="仿宋" w:hAnsi="仿宋" w:eastAsia="仿宋" w:cs="宋体"/>
                <w:sz w:val="24"/>
                <w:szCs w:val="24"/>
                <w:highlight w:val="none"/>
              </w:rPr>
              <w:t xml:space="preserve">注：请将报名回执表填写完整回复到报名邮箱 </w:t>
            </w:r>
          </w:p>
        </w:tc>
      </w:tr>
    </w:tbl>
    <w:p>
      <w:pPr>
        <w:widowControl w:val="0"/>
        <w:numPr>
          <w:ilvl w:val="0"/>
          <w:numId w:val="0"/>
        </w:numPr>
        <w:jc w:val="both"/>
        <w:rPr>
          <w:rFonts w:hint="default"/>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DBD19"/>
    <w:multiLevelType w:val="singleLevel"/>
    <w:tmpl w:val="153DBD19"/>
    <w:lvl w:ilvl="0" w:tentative="0">
      <w:start w:val="1"/>
      <w:numFmt w:val="decimal"/>
      <w:lvlText w:val="%1."/>
      <w:lvlJc w:val="left"/>
      <w:pPr>
        <w:tabs>
          <w:tab w:val="left" w:pos="312"/>
        </w:tabs>
      </w:pPr>
    </w:lvl>
  </w:abstractNum>
  <w:abstractNum w:abstractNumId="1">
    <w:nsid w:val="25DC9817"/>
    <w:multiLevelType w:val="singleLevel"/>
    <w:tmpl w:val="25DC9817"/>
    <w:lvl w:ilvl="0" w:tentative="0">
      <w:start w:val="3"/>
      <w:numFmt w:val="chineseCounting"/>
      <w:suff w:val="nothing"/>
      <w:lvlText w:val="（%1）"/>
      <w:lvlJc w:val="left"/>
      <w:rPr>
        <w:rFonts w:hint="eastAsia"/>
      </w:rPr>
    </w:lvl>
  </w:abstractNum>
  <w:abstractNum w:abstractNumId="2">
    <w:nsid w:val="7CD5B1BD"/>
    <w:multiLevelType w:val="singleLevel"/>
    <w:tmpl w:val="7CD5B1BD"/>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ZDMxM2NmMDhkNTE5YzgyOWU3ZDk0YzdkZmI5MjcifQ=="/>
  </w:docVars>
  <w:rsids>
    <w:rsidRoot w:val="5DE93DA1"/>
    <w:rsid w:val="0E0A7863"/>
    <w:rsid w:val="11CD10A4"/>
    <w:rsid w:val="130563BD"/>
    <w:rsid w:val="25D16D75"/>
    <w:rsid w:val="25D96AD4"/>
    <w:rsid w:val="2B084FE7"/>
    <w:rsid w:val="2D380099"/>
    <w:rsid w:val="2EF25EE7"/>
    <w:rsid w:val="3E7F65BA"/>
    <w:rsid w:val="43CC218A"/>
    <w:rsid w:val="4A147DEC"/>
    <w:rsid w:val="4A190B1F"/>
    <w:rsid w:val="4B2F45EB"/>
    <w:rsid w:val="4BC2625F"/>
    <w:rsid w:val="4FC13332"/>
    <w:rsid w:val="56B91F3B"/>
    <w:rsid w:val="57E470EB"/>
    <w:rsid w:val="5DE93DA1"/>
    <w:rsid w:val="67643D31"/>
    <w:rsid w:val="6ABC642B"/>
    <w:rsid w:val="706C4A8C"/>
    <w:rsid w:val="70C23DE6"/>
    <w:rsid w:val="72445CB4"/>
    <w:rsid w:val="77B10161"/>
    <w:rsid w:val="797B6EE2"/>
    <w:rsid w:val="7D98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2289</Words>
  <Characters>2355</Characters>
  <Lines>0</Lines>
  <Paragraphs>0</Paragraphs>
  <TotalTime>1</TotalTime>
  <ScaleCrop>false</ScaleCrop>
  <LinksUpToDate>false</LinksUpToDate>
  <CharactersWithSpaces>2407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2024-06-27T02:22:00Z</dcterms:created>
  <dc:creator>Sugar Free</dc:creator>
  <cp:lastModifiedBy>李青</cp:lastModifiedBy>
  <dcterms:modified xsi:type="dcterms:W3CDTF">2024-07-23T10:09:14Z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AC3A785D412D4FCB9E932A3997495BF1</vt:lpwstr>
  </property>
</Properties>
</file>