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95" w:rsidRDefault="00DD380D">
      <w:pPr>
        <w:widowControl/>
        <w:spacing w:before="240" w:after="240"/>
        <w:jc w:val="center"/>
        <w:outlineLvl w:val="2"/>
        <w:rPr>
          <w:rFonts w:ascii="宋体" w:hAnsi="宋体" w:cs="宋体"/>
          <w:b/>
          <w:bCs/>
          <w:kern w:val="0"/>
          <w:sz w:val="30"/>
          <w:szCs w:val="30"/>
        </w:rPr>
      </w:pPr>
      <w:r w:rsidRPr="00DD380D">
        <w:rPr>
          <w:rFonts w:ascii="宋体" w:hAnsi="宋体" w:cs="宋体" w:hint="eastAsia"/>
          <w:b/>
          <w:bCs/>
          <w:kern w:val="0"/>
          <w:sz w:val="30"/>
          <w:szCs w:val="30"/>
        </w:rPr>
        <w:t>卓越审计经理特训营</w:t>
      </w:r>
    </w:p>
    <w:p w:rsidR="000E0995" w:rsidRDefault="00DD380D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一、培训背景</w:t>
      </w:r>
    </w:p>
    <w:p w:rsidR="000E0995" w:rsidRDefault="00DD38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随着审计工作的不断发展，审计经理的职责范围也随之扩大了，审计工作团队的组建显得尤为重要，对于审计经理来说，其自身素质、多种技能与自主处理问题等能力都应全面加强。通过对审计经理</w:t>
      </w:r>
      <w:r>
        <w:rPr>
          <w:rFonts w:ascii="仿宋" w:eastAsia="仿宋" w:hAnsi="仿宋" w:cs="仿宋" w:hint="eastAsia"/>
          <w:sz w:val="28"/>
          <w:szCs w:val="28"/>
        </w:rPr>
        <w:t>履职能力</w:t>
      </w:r>
      <w:r>
        <w:rPr>
          <w:rFonts w:ascii="仿宋" w:eastAsia="仿宋" w:hAnsi="仿宋" w:cs="仿宋" w:hint="eastAsia"/>
          <w:sz w:val="28"/>
          <w:szCs w:val="28"/>
        </w:rPr>
        <w:t>的严格要求最终达到提高审计</w:t>
      </w:r>
      <w:r>
        <w:rPr>
          <w:rFonts w:ascii="仿宋" w:eastAsia="仿宋" w:hAnsi="仿宋" w:cs="仿宋" w:hint="eastAsia"/>
          <w:sz w:val="28"/>
          <w:szCs w:val="28"/>
        </w:rPr>
        <w:t>工作</w:t>
      </w:r>
      <w:r>
        <w:rPr>
          <w:rFonts w:ascii="仿宋" w:eastAsia="仿宋" w:hAnsi="仿宋" w:cs="仿宋" w:hint="eastAsia"/>
          <w:sz w:val="28"/>
          <w:szCs w:val="28"/>
        </w:rPr>
        <w:t>质量和审计工作效率的最终目的，这也是今后</w:t>
      </w:r>
      <w:r>
        <w:rPr>
          <w:rFonts w:ascii="仿宋" w:eastAsia="仿宋" w:hAnsi="仿宋" w:cs="仿宋" w:hint="eastAsia"/>
          <w:sz w:val="28"/>
          <w:szCs w:val="28"/>
        </w:rPr>
        <w:t>企业</w:t>
      </w:r>
      <w:r>
        <w:rPr>
          <w:rFonts w:ascii="仿宋" w:eastAsia="仿宋" w:hAnsi="仿宋" w:cs="仿宋" w:hint="eastAsia"/>
          <w:sz w:val="28"/>
          <w:szCs w:val="28"/>
        </w:rPr>
        <w:t>审计工作的发展趋势。审计经理必须要提高自身的风险意识与风险识别能力，在充分了解本企业、本行业的整体结构与特点的前提下，进一步提升审计工作质量。从某一层面上来讲，这些能力是公司开展风险管理</w:t>
      </w:r>
      <w:r>
        <w:rPr>
          <w:rFonts w:ascii="仿宋" w:eastAsia="仿宋" w:hAnsi="仿宋" w:cs="仿宋" w:hint="eastAsia"/>
          <w:sz w:val="28"/>
          <w:szCs w:val="28"/>
        </w:rPr>
        <w:t>与审计工作</w:t>
      </w:r>
      <w:r>
        <w:rPr>
          <w:rFonts w:ascii="仿宋" w:eastAsia="仿宋" w:hAnsi="仿宋" w:cs="仿宋" w:hint="eastAsia"/>
          <w:sz w:val="28"/>
          <w:szCs w:val="28"/>
        </w:rPr>
        <w:t>的关键。</w:t>
      </w:r>
    </w:p>
    <w:p w:rsidR="000E0995" w:rsidRDefault="00DD38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为推动审计工作高质量发展，提高审计经理履职能力，北京国家会计学院</w:t>
      </w:r>
      <w:r>
        <w:rPr>
          <w:rFonts w:ascii="仿宋" w:eastAsia="仿宋" w:hAnsi="仿宋" w:cs="仿宋" w:hint="eastAsia"/>
          <w:sz w:val="28"/>
          <w:szCs w:val="28"/>
        </w:rPr>
        <w:t>2024年推出“</w:t>
      </w:r>
      <w:r w:rsidRPr="00DD380D">
        <w:rPr>
          <w:rFonts w:ascii="仿宋" w:eastAsia="仿宋" w:hAnsi="仿宋" w:cs="仿宋" w:hint="eastAsia"/>
          <w:sz w:val="28"/>
          <w:szCs w:val="28"/>
        </w:rPr>
        <w:t>卓越审计经理特训营</w:t>
      </w:r>
      <w:r>
        <w:rPr>
          <w:rFonts w:ascii="仿宋" w:eastAsia="仿宋" w:hAnsi="仿宋" w:cs="仿宋" w:hint="eastAsia"/>
          <w:sz w:val="28"/>
          <w:szCs w:val="28"/>
        </w:rPr>
        <w:t>”</w:t>
      </w:r>
      <w:r>
        <w:rPr>
          <w:rFonts w:ascii="仿宋" w:eastAsia="仿宋" w:hAnsi="仿宋" w:cs="仿宋" w:hint="eastAsia"/>
          <w:sz w:val="28"/>
          <w:szCs w:val="28"/>
        </w:rPr>
        <w:t>，旨在强化</w:t>
      </w:r>
      <w:r>
        <w:rPr>
          <w:rFonts w:ascii="仿宋" w:eastAsia="仿宋" w:hAnsi="仿宋" w:cs="仿宋" w:hint="eastAsia"/>
          <w:sz w:val="28"/>
          <w:szCs w:val="28"/>
        </w:rPr>
        <w:t>审计</w:t>
      </w:r>
      <w:r>
        <w:rPr>
          <w:rFonts w:ascii="仿宋" w:eastAsia="仿宋" w:hAnsi="仿宋" w:cs="仿宋" w:hint="eastAsia"/>
          <w:sz w:val="28"/>
          <w:szCs w:val="28"/>
        </w:rPr>
        <w:t>工作监督，为企业合规经营筑牢监督屏障，以高质量审计赋能企业高质量发展，同时也为</w:t>
      </w:r>
      <w:r>
        <w:rPr>
          <w:rFonts w:ascii="仿宋" w:eastAsia="仿宋" w:hAnsi="仿宋" w:cs="仿宋" w:hint="eastAsia"/>
          <w:sz w:val="28"/>
          <w:szCs w:val="28"/>
        </w:rPr>
        <w:t>企业</w:t>
      </w:r>
      <w:r>
        <w:rPr>
          <w:rFonts w:ascii="仿宋" w:eastAsia="仿宋" w:hAnsi="仿宋" w:cs="仿宋" w:hint="eastAsia"/>
          <w:sz w:val="28"/>
          <w:szCs w:val="28"/>
        </w:rPr>
        <w:t>审计后备人才做储备。</w:t>
      </w:r>
    </w:p>
    <w:p w:rsidR="000E0995" w:rsidRDefault="00DD380D">
      <w:pPr>
        <w:adjustRightInd w:val="0"/>
        <w:snapToGrid w:val="0"/>
        <w:spacing w:beforeLines="50" w:before="156"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二、培训收益</w:t>
      </w:r>
    </w:p>
    <w:p w:rsidR="000E0995" w:rsidRDefault="00DD380D">
      <w:pPr>
        <w:adjustRightInd w:val="0"/>
        <w:snapToGrid w:val="0"/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提高审计经理综合素质能力</w:t>
      </w:r>
    </w:p>
    <w:p w:rsidR="000E0995" w:rsidRDefault="00DD380D">
      <w:pPr>
        <w:adjustRightInd w:val="0"/>
        <w:snapToGrid w:val="0"/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培养审计经理“能查能说能写”的本领</w:t>
      </w:r>
    </w:p>
    <w:p w:rsidR="000E0995" w:rsidRDefault="00DD380D">
      <w:pPr>
        <w:adjustRightInd w:val="0"/>
        <w:snapToGrid w:val="0"/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帮助企业掌握审计工作团队的组建方法</w:t>
      </w:r>
    </w:p>
    <w:p w:rsidR="000E0995" w:rsidRDefault="00DD380D">
      <w:pPr>
        <w:adjustRightInd w:val="0"/>
        <w:snapToGrid w:val="0"/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纯案例教学强化审计经理业务能力</w:t>
      </w:r>
    </w:p>
    <w:p w:rsidR="000E0995" w:rsidRDefault="00DD380D">
      <w:pPr>
        <w:adjustRightInd w:val="0"/>
        <w:snapToGrid w:val="0"/>
        <w:spacing w:beforeLines="50" w:before="156"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三、培训对象</w:t>
      </w:r>
    </w:p>
    <w:p w:rsidR="000E0995" w:rsidRDefault="00DD380D">
      <w:pPr>
        <w:adjustRightInd w:val="0"/>
        <w:snapToGrid w:val="0"/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企业董事长、总经理、副总经理、财务总监等企业中高层</w:t>
      </w:r>
    </w:p>
    <w:p w:rsidR="000E0995" w:rsidRDefault="00DD380D">
      <w:pPr>
        <w:adjustRightInd w:val="0"/>
        <w:snapToGrid w:val="0"/>
        <w:spacing w:line="360" w:lineRule="auto"/>
        <w:ind w:rightChars="-200" w:right="-420"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财务部、审计部、风险管理部、内</w:t>
      </w:r>
      <w:r>
        <w:rPr>
          <w:rFonts w:ascii="仿宋" w:eastAsia="仿宋" w:hAnsi="仿宋" w:cs="仿宋" w:hint="eastAsia"/>
          <w:sz w:val="28"/>
          <w:szCs w:val="28"/>
        </w:rPr>
        <w:t>部控制部、战略发展部相关人员</w:t>
      </w:r>
    </w:p>
    <w:p w:rsidR="000E0995" w:rsidRDefault="00DD380D">
      <w:pPr>
        <w:adjustRightInd w:val="0"/>
        <w:snapToGrid w:val="0"/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会计师事务所、管理咨询公司等从事管理咨询的相关从业人员</w:t>
      </w:r>
    </w:p>
    <w:p w:rsidR="000E0995" w:rsidRDefault="00DD380D">
      <w:pPr>
        <w:adjustRightInd w:val="0"/>
        <w:snapToGrid w:val="0"/>
        <w:spacing w:line="360" w:lineRule="auto"/>
        <w:ind w:firstLineChars="100" w:firstLine="280"/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高校从事财务审计风险管理理论研究与实务教学的教师</w:t>
      </w:r>
    </w:p>
    <w:p w:rsidR="000E0995" w:rsidRDefault="00DD380D">
      <w:pPr>
        <w:adjustRightInd w:val="0"/>
        <w:snapToGrid w:val="0"/>
        <w:spacing w:beforeLines="50" w:before="156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四</w:t>
      </w:r>
      <w:r>
        <w:rPr>
          <w:rFonts w:ascii="仿宋" w:eastAsia="仿宋" w:hAnsi="仿宋" w:cs="仿宋"/>
          <w:b/>
          <w:sz w:val="28"/>
          <w:szCs w:val="28"/>
        </w:rPr>
        <w:t>、培训</w:t>
      </w:r>
      <w:r>
        <w:rPr>
          <w:rFonts w:ascii="仿宋" w:eastAsia="仿宋" w:hAnsi="仿宋" w:cs="仿宋" w:hint="eastAsia"/>
          <w:b/>
          <w:sz w:val="28"/>
          <w:szCs w:val="28"/>
        </w:rPr>
        <w:t>内容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 w:hint="eastAsia"/>
          <w:b/>
          <w:sz w:val="28"/>
          <w:szCs w:val="28"/>
        </w:rPr>
        <w:t>（一）审计经理领导力与软技能提升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1.</w:t>
      </w:r>
      <w:r>
        <w:rPr>
          <w:rFonts w:ascii="仿宋" w:eastAsia="仿宋" w:hAnsi="仿宋" w:cs="仿宋_GB2312" w:hint="eastAsia"/>
          <w:sz w:val="28"/>
          <w:szCs w:val="28"/>
        </w:rPr>
        <w:t>成为具有影响力的审计部门负责人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2.</w:t>
      </w:r>
      <w:r>
        <w:rPr>
          <w:rFonts w:ascii="仿宋" w:eastAsia="仿宋" w:hAnsi="仿宋" w:cs="仿宋_GB2312" w:hint="eastAsia"/>
          <w:sz w:val="28"/>
          <w:szCs w:val="28"/>
        </w:rPr>
        <w:t>如何处理审计部门与领导层之间的关系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3.</w:t>
      </w:r>
      <w:r>
        <w:rPr>
          <w:rFonts w:ascii="仿宋" w:eastAsia="仿宋" w:hAnsi="仿宋" w:cs="仿宋_GB2312" w:hint="eastAsia"/>
          <w:sz w:val="28"/>
          <w:szCs w:val="28"/>
        </w:rPr>
        <w:t>高效的审计团队搭建实务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4.</w:t>
      </w:r>
      <w:r>
        <w:rPr>
          <w:rFonts w:ascii="仿宋" w:eastAsia="仿宋" w:hAnsi="仿宋" w:cs="仿宋_GB2312" w:hint="eastAsia"/>
          <w:sz w:val="28"/>
          <w:szCs w:val="28"/>
        </w:rPr>
        <w:t>审计部门如何引领管理变革、参与业务控制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5.</w:t>
      </w:r>
      <w:r>
        <w:rPr>
          <w:rFonts w:ascii="仿宋" w:eastAsia="仿宋" w:hAnsi="仿宋" w:cs="仿宋_GB2312" w:hint="eastAsia"/>
          <w:sz w:val="28"/>
          <w:szCs w:val="28"/>
        </w:rPr>
        <w:t>内部审计中的沟通技巧与冲突管理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6.</w:t>
      </w:r>
      <w:r>
        <w:rPr>
          <w:rFonts w:ascii="仿宋" w:eastAsia="仿宋" w:hAnsi="仿宋" w:cs="仿宋_GB2312" w:hint="eastAsia"/>
          <w:sz w:val="28"/>
          <w:szCs w:val="28"/>
        </w:rPr>
        <w:t>审计经理“能查能说能写”的能力塑造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/>
          <w:b/>
          <w:sz w:val="28"/>
          <w:szCs w:val="28"/>
        </w:rPr>
        <w:t>（二）</w:t>
      </w:r>
      <w:r>
        <w:rPr>
          <w:rFonts w:ascii="仿宋" w:eastAsia="仿宋" w:hAnsi="仿宋" w:cs="仿宋_GB2312" w:hint="eastAsia"/>
          <w:b/>
          <w:sz w:val="28"/>
          <w:szCs w:val="28"/>
        </w:rPr>
        <w:t>数字化审计技术应用纯案例教学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</w:t>
      </w:r>
      <w:r>
        <w:rPr>
          <w:rFonts w:ascii="仿宋" w:eastAsia="仿宋" w:hAnsi="仿宋" w:cs="仿宋_GB2312" w:hint="eastAsia"/>
          <w:sz w:val="28"/>
          <w:szCs w:val="28"/>
        </w:rPr>
        <w:t>智慧审计”的数字化转型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数字化审计平台与数据治理审计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3.</w:t>
      </w:r>
      <w:r>
        <w:rPr>
          <w:rFonts w:hint="eastAsia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数据挖掘在审计中的应用及案例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4.</w:t>
      </w:r>
      <w:r>
        <w:rPr>
          <w:rFonts w:hint="eastAsia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画像技术及其应用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/>
          <w:b/>
          <w:sz w:val="28"/>
          <w:szCs w:val="28"/>
        </w:rPr>
        <w:t>（三）经济责任审计新规解读与应用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1.</w:t>
      </w:r>
      <w:r>
        <w:rPr>
          <w:rFonts w:ascii="仿宋" w:eastAsia="仿宋" w:hAnsi="仿宋" w:cs="仿宋_GB2312"/>
          <w:sz w:val="28"/>
          <w:szCs w:val="28"/>
        </w:rPr>
        <w:t>最新经济责任审计法规政策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2.</w:t>
      </w:r>
      <w:r>
        <w:rPr>
          <w:rFonts w:ascii="仿宋" w:eastAsia="仿宋" w:hAnsi="仿宋" w:cs="仿宋_GB2312"/>
          <w:sz w:val="28"/>
          <w:szCs w:val="28"/>
        </w:rPr>
        <w:t>新常态下经济责任审计理念与经济责任审计重点难点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3.</w:t>
      </w:r>
      <w:r>
        <w:rPr>
          <w:rFonts w:ascii="仿宋" w:eastAsia="仿宋" w:hAnsi="仿宋" w:cs="仿宋_GB2312"/>
          <w:sz w:val="28"/>
          <w:szCs w:val="28"/>
        </w:rPr>
        <w:t>经济责任审计的主要技术方法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4.</w:t>
      </w:r>
      <w:r>
        <w:rPr>
          <w:rFonts w:ascii="仿宋" w:eastAsia="仿宋" w:hAnsi="仿宋" w:cs="仿宋_GB2312"/>
          <w:sz w:val="28"/>
          <w:szCs w:val="28"/>
        </w:rPr>
        <w:t>经济责任审计评价方法与指标设定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5.</w:t>
      </w:r>
      <w:r>
        <w:rPr>
          <w:rFonts w:ascii="仿宋" w:eastAsia="仿宋" w:hAnsi="仿宋" w:cs="仿宋_GB2312"/>
          <w:sz w:val="28"/>
          <w:szCs w:val="28"/>
        </w:rPr>
        <w:t>领导干部直接责任、主管责任、领导责任的界定及处理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6.</w:t>
      </w:r>
      <w:r>
        <w:rPr>
          <w:rFonts w:ascii="仿宋" w:eastAsia="仿宋" w:hAnsi="仿宋" w:cs="仿宋_GB2312"/>
          <w:sz w:val="28"/>
          <w:szCs w:val="28"/>
        </w:rPr>
        <w:t>经济责任审计报告的编写及结果运用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7.</w:t>
      </w:r>
      <w:r>
        <w:rPr>
          <w:rFonts w:ascii="仿宋" w:eastAsia="仿宋" w:hAnsi="仿宋" w:cs="仿宋_GB2312"/>
          <w:sz w:val="28"/>
          <w:szCs w:val="28"/>
        </w:rPr>
        <w:t>经济责任审计案例分析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/>
          <w:b/>
          <w:sz w:val="28"/>
          <w:szCs w:val="28"/>
        </w:rPr>
        <w:t>（四）风险导向内部审计实务</w:t>
      </w:r>
      <w:r>
        <w:rPr>
          <w:rFonts w:ascii="仿宋" w:eastAsia="仿宋" w:hAnsi="仿宋" w:cs="仿宋_GB2312" w:hint="eastAsia"/>
          <w:b/>
          <w:sz w:val="28"/>
          <w:szCs w:val="28"/>
        </w:rPr>
        <w:t>纯案例教学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lastRenderedPageBreak/>
        <w:t>1.</w:t>
      </w:r>
      <w:r>
        <w:rPr>
          <w:rFonts w:ascii="仿宋" w:eastAsia="仿宋" w:hAnsi="仿宋" w:cs="仿宋_GB2312"/>
          <w:sz w:val="28"/>
          <w:szCs w:val="28"/>
        </w:rPr>
        <w:t>风险导向的审计思路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2.</w:t>
      </w:r>
      <w:r>
        <w:rPr>
          <w:rFonts w:ascii="仿宋" w:eastAsia="仿宋" w:hAnsi="仿宋" w:cs="仿宋_GB2312"/>
          <w:sz w:val="28"/>
          <w:szCs w:val="28"/>
        </w:rPr>
        <w:t>以风险为导向的内部审计框架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3.</w:t>
      </w:r>
      <w:r>
        <w:rPr>
          <w:rFonts w:ascii="仿宋" w:eastAsia="仿宋" w:hAnsi="仿宋" w:cs="仿宋_GB2312"/>
          <w:sz w:val="28"/>
          <w:szCs w:val="28"/>
        </w:rPr>
        <w:t>风险导向的内部审计流程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4.</w:t>
      </w:r>
      <w:r>
        <w:rPr>
          <w:rFonts w:ascii="仿宋" w:eastAsia="仿宋" w:hAnsi="仿宋" w:cs="仿宋_GB2312"/>
          <w:sz w:val="28"/>
          <w:szCs w:val="28"/>
        </w:rPr>
        <w:t>经营与投资项目的重大风险识别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/>
          <w:b/>
          <w:sz w:val="28"/>
          <w:szCs w:val="28"/>
        </w:rPr>
        <w:t>（五）采购审计与舞弊调查</w:t>
      </w:r>
      <w:r>
        <w:rPr>
          <w:rFonts w:ascii="仿宋" w:eastAsia="仿宋" w:hAnsi="仿宋" w:cs="仿宋_GB2312" w:hint="eastAsia"/>
          <w:b/>
          <w:sz w:val="28"/>
          <w:szCs w:val="28"/>
        </w:rPr>
        <w:t>纯案例教学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1.</w:t>
      </w:r>
      <w:r>
        <w:rPr>
          <w:rFonts w:ascii="仿宋" w:eastAsia="仿宋" w:hAnsi="仿宋" w:cs="仿宋_GB2312"/>
          <w:sz w:val="28"/>
          <w:szCs w:val="28"/>
        </w:rPr>
        <w:t>采购的基础知识与监察要点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2.</w:t>
      </w:r>
      <w:r>
        <w:rPr>
          <w:rFonts w:ascii="仿宋" w:eastAsia="仿宋" w:hAnsi="仿宋" w:cs="仿宋_GB2312"/>
          <w:sz w:val="28"/>
          <w:szCs w:val="28"/>
        </w:rPr>
        <w:t>采购过程中价格管理、质量管理、周期管理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3.</w:t>
      </w:r>
      <w:r>
        <w:rPr>
          <w:rFonts w:ascii="仿宋" w:eastAsia="仿宋" w:hAnsi="仿宋" w:cs="仿宋_GB2312"/>
          <w:sz w:val="28"/>
          <w:szCs w:val="28"/>
        </w:rPr>
        <w:t>采购计划、存货及仓储管理关注重点和审计方法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4.</w:t>
      </w:r>
      <w:r>
        <w:rPr>
          <w:rFonts w:ascii="仿宋" w:eastAsia="仿宋" w:hAnsi="仿宋" w:cs="仿宋_GB2312"/>
          <w:sz w:val="28"/>
          <w:szCs w:val="28"/>
        </w:rPr>
        <w:t>围标串标典型案例分析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5.</w:t>
      </w:r>
      <w:r>
        <w:rPr>
          <w:rFonts w:ascii="仿宋" w:eastAsia="仿宋" w:hAnsi="仿宋" w:cs="仿宋_GB2312"/>
          <w:sz w:val="28"/>
          <w:szCs w:val="28"/>
        </w:rPr>
        <w:t>舞弊调查的思路与技巧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6.</w:t>
      </w:r>
      <w:r>
        <w:rPr>
          <w:rFonts w:ascii="仿宋" w:eastAsia="仿宋" w:hAnsi="仿宋" w:cs="仿宋_GB2312"/>
          <w:sz w:val="28"/>
          <w:szCs w:val="28"/>
        </w:rPr>
        <w:t>舞弊调查的后续处置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/>
          <w:b/>
          <w:sz w:val="28"/>
          <w:szCs w:val="28"/>
        </w:rPr>
        <w:t>（六）供应商监控与合同审计</w:t>
      </w:r>
      <w:r>
        <w:rPr>
          <w:rFonts w:ascii="仿宋" w:eastAsia="仿宋" w:hAnsi="仿宋" w:cs="仿宋_GB2312" w:hint="eastAsia"/>
          <w:b/>
          <w:sz w:val="28"/>
          <w:szCs w:val="28"/>
        </w:rPr>
        <w:t>纯案例教学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1.</w:t>
      </w:r>
      <w:r>
        <w:rPr>
          <w:rFonts w:ascii="仿宋" w:eastAsia="仿宋" w:hAnsi="仿宋" w:cs="仿宋_GB2312"/>
          <w:sz w:val="28"/>
          <w:szCs w:val="28"/>
        </w:rPr>
        <w:t>供应商风险管控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2.</w:t>
      </w:r>
      <w:r>
        <w:rPr>
          <w:rFonts w:ascii="仿宋" w:eastAsia="仿宋" w:hAnsi="仿宋" w:cs="仿宋_GB2312"/>
          <w:sz w:val="28"/>
          <w:szCs w:val="28"/>
        </w:rPr>
        <w:t>合同审计与风险管控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 w:hint="eastAsia"/>
          <w:b/>
          <w:sz w:val="28"/>
          <w:szCs w:val="28"/>
        </w:rPr>
        <w:t>（七）</w:t>
      </w:r>
      <w:r>
        <w:rPr>
          <w:rFonts w:ascii="仿宋" w:eastAsia="仿宋" w:hAnsi="仿宋" w:cs="仿宋_GB2312" w:hint="eastAsia"/>
          <w:b/>
          <w:sz w:val="28"/>
          <w:szCs w:val="28"/>
        </w:rPr>
        <w:t>IT</w:t>
      </w:r>
      <w:r>
        <w:rPr>
          <w:rFonts w:ascii="仿宋" w:eastAsia="仿宋" w:hAnsi="仿宋" w:cs="仿宋_GB2312" w:hint="eastAsia"/>
          <w:b/>
          <w:sz w:val="28"/>
          <w:szCs w:val="28"/>
        </w:rPr>
        <w:t>审计与典型案例分析纯案例教学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1.IT</w:t>
      </w:r>
      <w:r>
        <w:rPr>
          <w:rFonts w:ascii="仿宋" w:eastAsia="仿宋" w:hAnsi="仿宋" w:cs="仿宋_GB2312" w:hint="eastAsia"/>
          <w:sz w:val="28"/>
          <w:szCs w:val="28"/>
        </w:rPr>
        <w:t>审计基础与标准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2.</w:t>
      </w:r>
      <w:r>
        <w:rPr>
          <w:rFonts w:ascii="仿宋" w:eastAsia="仿宋" w:hAnsi="仿宋" w:cs="仿宋_GB2312" w:hint="eastAsia"/>
          <w:sz w:val="28"/>
          <w:szCs w:val="28"/>
        </w:rPr>
        <w:t>常用</w:t>
      </w:r>
      <w:r>
        <w:rPr>
          <w:rFonts w:ascii="仿宋" w:eastAsia="仿宋" w:hAnsi="仿宋" w:cs="仿宋_GB2312" w:hint="eastAsia"/>
          <w:sz w:val="28"/>
          <w:szCs w:val="28"/>
        </w:rPr>
        <w:t>IT</w:t>
      </w:r>
      <w:r>
        <w:rPr>
          <w:rFonts w:ascii="仿宋" w:eastAsia="仿宋" w:hAnsi="仿宋" w:cs="仿宋_GB2312" w:hint="eastAsia"/>
          <w:sz w:val="28"/>
          <w:szCs w:val="28"/>
        </w:rPr>
        <w:t>审计方法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3.</w:t>
      </w:r>
      <w:r>
        <w:rPr>
          <w:rFonts w:ascii="仿宋" w:eastAsia="仿宋" w:hAnsi="仿宋" w:cs="仿宋_GB2312" w:hint="eastAsia"/>
          <w:sz w:val="28"/>
          <w:szCs w:val="28"/>
        </w:rPr>
        <w:t>对信息系统安全实施审计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4.</w:t>
      </w:r>
      <w:r>
        <w:rPr>
          <w:rFonts w:ascii="仿宋" w:eastAsia="仿宋" w:hAnsi="仿宋" w:cs="仿宋_GB2312" w:hint="eastAsia"/>
          <w:sz w:val="28"/>
          <w:szCs w:val="28"/>
        </w:rPr>
        <w:t>对应用系统开发的审计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5.</w:t>
      </w:r>
      <w:r>
        <w:rPr>
          <w:rFonts w:ascii="仿宋" w:eastAsia="仿宋" w:hAnsi="仿宋" w:cs="仿宋_GB2312" w:hint="eastAsia"/>
          <w:sz w:val="28"/>
          <w:szCs w:val="28"/>
        </w:rPr>
        <w:t>对数据管控的审计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6.IT</w:t>
      </w:r>
      <w:r>
        <w:rPr>
          <w:rFonts w:ascii="仿宋" w:eastAsia="仿宋" w:hAnsi="仿宋" w:cs="仿宋_GB2312" w:hint="eastAsia"/>
          <w:sz w:val="28"/>
          <w:szCs w:val="28"/>
        </w:rPr>
        <w:t>审计典型案例分析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 w:hint="eastAsia"/>
          <w:b/>
          <w:sz w:val="28"/>
          <w:szCs w:val="28"/>
        </w:rPr>
        <w:t>（八）工程项目审计实务与案例分析纯案例教学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 xml:space="preserve">1. </w:t>
      </w:r>
      <w:r>
        <w:rPr>
          <w:rFonts w:ascii="仿宋" w:eastAsia="仿宋" w:hAnsi="仿宋" w:cs="仿宋_GB2312" w:hint="eastAsia"/>
          <w:sz w:val="28"/>
          <w:szCs w:val="28"/>
        </w:rPr>
        <w:t>工程项目全流程内控审计实务</w:t>
      </w:r>
    </w:p>
    <w:p w:rsidR="000E0995" w:rsidRDefault="00DD380D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2. </w:t>
      </w:r>
      <w:r>
        <w:rPr>
          <w:rFonts w:ascii="仿宋" w:eastAsia="仿宋" w:hAnsi="仿宋" w:cs="仿宋_GB2312" w:hint="eastAsia"/>
          <w:sz w:val="28"/>
          <w:szCs w:val="28"/>
        </w:rPr>
        <w:t>建设项目造价管理与审计实务</w:t>
      </w:r>
    </w:p>
    <w:p w:rsidR="000E0995" w:rsidRDefault="00DD380D">
      <w:pPr>
        <w:adjustRightInd w:val="0"/>
        <w:snapToGrid w:val="0"/>
        <w:spacing w:beforeLines="50" w:before="156"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五</w:t>
      </w:r>
      <w:r>
        <w:rPr>
          <w:rFonts w:ascii="仿宋" w:eastAsia="仿宋" w:hAnsi="仿宋" w:cs="仿宋"/>
          <w:b/>
          <w:sz w:val="28"/>
          <w:szCs w:val="28"/>
        </w:rPr>
        <w:t>、师资力量</w:t>
      </w:r>
    </w:p>
    <w:p w:rsidR="000E0995" w:rsidRDefault="00DD380D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本课程由北京国家会计学院精心组织的专门师资团队授课。授课老师均具有深厚的理论功底及丰富的实践经验，包括北京国家会计学院教授、实务界资深专家、政策制定者等。具体师资以实际课表为准。</w:t>
      </w:r>
    </w:p>
    <w:p w:rsidR="000E0995" w:rsidRDefault="00DD380D">
      <w:pPr>
        <w:adjustRightInd w:val="0"/>
        <w:snapToGrid w:val="0"/>
        <w:spacing w:beforeLines="50" w:before="156"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六</w:t>
      </w:r>
      <w:r>
        <w:rPr>
          <w:rFonts w:ascii="仿宋" w:eastAsia="仿宋" w:hAnsi="仿宋" w:cs="仿宋"/>
          <w:b/>
          <w:sz w:val="28"/>
          <w:szCs w:val="28"/>
        </w:rPr>
        <w:t>、时间地点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23"/>
        <w:gridCol w:w="1559"/>
        <w:gridCol w:w="2283"/>
        <w:gridCol w:w="1547"/>
        <w:gridCol w:w="1415"/>
      </w:tblGrid>
      <w:tr w:rsidR="000E0995">
        <w:trPr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995" w:rsidRDefault="00DD380D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995" w:rsidRDefault="00DD380D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995" w:rsidRDefault="00DD380D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995" w:rsidRDefault="00DD380D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返程时间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995" w:rsidRDefault="00DD380D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地点</w:t>
            </w:r>
          </w:p>
        </w:tc>
      </w:tr>
      <w:tr w:rsidR="000E0995">
        <w:trPr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总第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-29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</w:tr>
      <w:tr w:rsidR="000E0995">
        <w:trPr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总第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-24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</w:tr>
      <w:tr w:rsidR="000E0995">
        <w:trPr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总第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青岛</w:t>
            </w:r>
          </w:p>
        </w:tc>
      </w:tr>
      <w:tr w:rsidR="000E0995">
        <w:trPr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总第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成都</w:t>
            </w:r>
          </w:p>
        </w:tc>
      </w:tr>
      <w:tr w:rsidR="000E0995">
        <w:trPr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总第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995" w:rsidRDefault="00DD380D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深圳</w:t>
            </w:r>
          </w:p>
        </w:tc>
      </w:tr>
    </w:tbl>
    <w:p w:rsidR="000E0995" w:rsidRDefault="00DD380D">
      <w:pPr>
        <w:adjustRightInd w:val="0"/>
        <w:snapToGrid w:val="0"/>
        <w:spacing w:beforeLines="50" w:before="156"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七</w:t>
      </w:r>
      <w:r>
        <w:rPr>
          <w:rFonts w:ascii="仿宋" w:eastAsia="仿宋" w:hAnsi="仿宋" w:cs="仿宋"/>
          <w:b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sz w:val="28"/>
          <w:szCs w:val="28"/>
        </w:rPr>
        <w:t>结业证书</w:t>
      </w:r>
    </w:p>
    <w:p w:rsidR="000E0995" w:rsidRDefault="00DD380D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完成学习后由北京国家会计学院颁发的电子版结业证书。</w:t>
      </w:r>
    </w:p>
    <w:p w:rsidR="000E0995" w:rsidRDefault="00DD380D">
      <w:pPr>
        <w:adjustRightInd w:val="0"/>
        <w:snapToGrid w:val="0"/>
        <w:spacing w:beforeLines="50" w:before="156"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八</w:t>
      </w:r>
      <w:r>
        <w:rPr>
          <w:rFonts w:ascii="仿宋" w:eastAsia="仿宋" w:hAnsi="仿宋" w:cs="仿宋"/>
          <w:b/>
          <w:sz w:val="28"/>
          <w:szCs w:val="28"/>
        </w:rPr>
        <w:t>、收费标准</w:t>
      </w:r>
    </w:p>
    <w:p w:rsidR="000E0995" w:rsidRDefault="00DD38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培训</w:t>
      </w:r>
      <w:r>
        <w:rPr>
          <w:rFonts w:ascii="仿宋" w:eastAsia="仿宋" w:hAnsi="仿宋" w:cs="仿宋"/>
          <w:sz w:val="28"/>
          <w:szCs w:val="28"/>
        </w:rPr>
        <w:t>费：</w:t>
      </w:r>
      <w:r>
        <w:rPr>
          <w:rFonts w:ascii="仿宋" w:eastAsia="仿宋" w:hAnsi="仿宋" w:cs="仿宋" w:hint="eastAsia"/>
          <w:sz w:val="28"/>
          <w:szCs w:val="28"/>
        </w:rPr>
        <w:t>58</w:t>
      </w:r>
      <w:r>
        <w:rPr>
          <w:rFonts w:ascii="仿宋" w:eastAsia="仿宋" w:hAnsi="仿宋" w:cs="仿宋"/>
          <w:sz w:val="28"/>
          <w:szCs w:val="28"/>
        </w:rPr>
        <w:t>00</w:t>
      </w:r>
      <w:r>
        <w:rPr>
          <w:rFonts w:ascii="仿宋" w:eastAsia="仿宋" w:hAnsi="仿宋" w:cs="仿宋"/>
          <w:sz w:val="28"/>
          <w:szCs w:val="28"/>
        </w:rPr>
        <w:t>元</w:t>
      </w:r>
      <w:r>
        <w:rPr>
          <w:rFonts w:ascii="仿宋" w:eastAsia="仿宋" w:hAnsi="仿宋" w:cs="仿宋"/>
          <w:sz w:val="28"/>
          <w:szCs w:val="28"/>
        </w:rPr>
        <w:t>/</w:t>
      </w:r>
      <w:r>
        <w:rPr>
          <w:rFonts w:ascii="仿宋" w:eastAsia="仿宋" w:hAnsi="仿宋" w:cs="仿宋"/>
          <w:sz w:val="28"/>
          <w:szCs w:val="28"/>
        </w:rPr>
        <w:t>人，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0E0995" w:rsidRDefault="00DD38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在北京国家会计学院举办的培训可提供食宿。就餐为自助餐，收费标准为</w:t>
      </w:r>
      <w:r>
        <w:rPr>
          <w:rFonts w:ascii="仿宋" w:eastAsia="仿宋" w:hAnsi="仿宋" w:cs="仿宋" w:hint="eastAsia"/>
          <w:sz w:val="28"/>
          <w:szCs w:val="28"/>
        </w:rPr>
        <w:t>120</w:t>
      </w:r>
      <w:r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人天。住宿条件为单人标准间，收费标准普通间</w:t>
      </w:r>
      <w:r>
        <w:rPr>
          <w:rFonts w:ascii="仿宋" w:eastAsia="仿宋" w:hAnsi="仿宋" w:cs="仿宋" w:hint="eastAsia"/>
          <w:sz w:val="28"/>
          <w:szCs w:val="28"/>
        </w:rPr>
        <w:t>340</w:t>
      </w:r>
      <w:r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人天，商务间</w:t>
      </w:r>
      <w:r>
        <w:rPr>
          <w:rFonts w:ascii="仿宋" w:eastAsia="仿宋" w:hAnsi="仿宋" w:cs="仿宋" w:hint="eastAsia"/>
          <w:sz w:val="28"/>
          <w:szCs w:val="28"/>
        </w:rPr>
        <w:t>550</w:t>
      </w:r>
      <w:r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人天，新商务间</w:t>
      </w:r>
      <w:r>
        <w:rPr>
          <w:rFonts w:ascii="仿宋" w:eastAsia="仿宋" w:hAnsi="仿宋" w:cs="仿宋" w:hint="eastAsia"/>
          <w:sz w:val="28"/>
          <w:szCs w:val="28"/>
        </w:rPr>
        <w:t>650</w:t>
      </w:r>
      <w:r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人天（住宿费用含游泳、健身、净娱乐、宽带上网等费用），在京外举办的培训由当地酒店提供食宿，统一安排，费用自理。</w:t>
      </w:r>
    </w:p>
    <w:p w:rsidR="000E0995" w:rsidRDefault="00DD38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缴费方式：</w:t>
      </w:r>
    </w:p>
    <w:p w:rsidR="000E0995" w:rsidRDefault="00DD38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）报到时现场扫码支付或手机银行转账；</w:t>
      </w:r>
    </w:p>
    <w:p w:rsidR="000E0995" w:rsidRDefault="00DD38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）银行汇款（培训费可汇款，食宿费需当场缴纳现金）：</w:t>
      </w:r>
    </w:p>
    <w:p w:rsidR="000E0995" w:rsidRDefault="00DD380D">
      <w:pPr>
        <w:adjustRightInd w:val="0"/>
        <w:snapToGrid w:val="0"/>
        <w:spacing w:line="360" w:lineRule="auto"/>
        <w:ind w:firstLineChars="500" w:firstLine="14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名称：北京国家会计学院</w:t>
      </w:r>
    </w:p>
    <w:p w:rsidR="000E0995" w:rsidRDefault="00DD380D">
      <w:pPr>
        <w:adjustRightInd w:val="0"/>
        <w:snapToGrid w:val="0"/>
        <w:spacing w:line="360" w:lineRule="auto"/>
        <w:ind w:firstLineChars="500" w:firstLine="14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开户行：中国建设银行北京天竺支行（</w:t>
      </w:r>
      <w:r>
        <w:rPr>
          <w:rFonts w:ascii="仿宋" w:eastAsia="仿宋" w:hAnsi="仿宋" w:cs="仿宋" w:hint="eastAsia"/>
          <w:sz w:val="28"/>
          <w:szCs w:val="28"/>
        </w:rPr>
        <w:t>201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0E0995" w:rsidRDefault="00DD380D">
      <w:pPr>
        <w:adjustRightInd w:val="0"/>
        <w:snapToGrid w:val="0"/>
        <w:spacing w:line="360" w:lineRule="auto"/>
        <w:ind w:firstLineChars="500" w:firstLine="14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账号：</w:t>
      </w:r>
      <w:r>
        <w:rPr>
          <w:rFonts w:ascii="仿宋" w:eastAsia="仿宋" w:hAnsi="仿宋" w:cs="仿宋" w:hint="eastAsia"/>
          <w:sz w:val="28"/>
          <w:szCs w:val="28"/>
        </w:rPr>
        <w:t>1100 1020 1000 560</w:t>
      </w:r>
      <w:r>
        <w:rPr>
          <w:rFonts w:ascii="仿宋" w:eastAsia="仿宋" w:hAnsi="仿宋" w:cs="仿宋" w:hint="eastAsia"/>
          <w:sz w:val="28"/>
          <w:szCs w:val="28"/>
        </w:rPr>
        <w:t>3 0985</w:t>
      </w:r>
    </w:p>
    <w:p w:rsidR="000E0995" w:rsidRDefault="00DD380D">
      <w:pPr>
        <w:adjustRightInd w:val="0"/>
        <w:snapToGrid w:val="0"/>
        <w:spacing w:beforeLines="50" w:before="156"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九、报名方式</w:t>
      </w:r>
    </w:p>
    <w:p w:rsidR="000E0995" w:rsidRDefault="00DD38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请将报名回执表填写完整后发邮件，我们会在开班前一周发报到通知。</w:t>
      </w:r>
    </w:p>
    <w:p w:rsidR="000E0995" w:rsidRDefault="00DD38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报名联系人：李老师</w:t>
      </w:r>
    </w:p>
    <w:p w:rsidR="000E0995" w:rsidRDefault="00DD38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报名电话：</w:t>
      </w:r>
      <w:r>
        <w:rPr>
          <w:rFonts w:ascii="仿宋" w:eastAsia="仿宋" w:hAnsi="仿宋" w:cs="仿宋" w:hint="eastAsia"/>
          <w:sz w:val="28"/>
          <w:szCs w:val="28"/>
        </w:rPr>
        <w:t>15652426725</w:t>
      </w:r>
    </w:p>
    <w:p w:rsidR="000E0995" w:rsidRDefault="00DD38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报名邮箱：</w:t>
      </w:r>
      <w:r>
        <w:rPr>
          <w:rFonts w:ascii="仿宋" w:eastAsia="仿宋" w:hAnsi="仿宋" w:cs="仿宋" w:hint="eastAsia"/>
          <w:sz w:val="28"/>
          <w:szCs w:val="28"/>
        </w:rPr>
        <w:t>accountant_cfo@163.com</w:t>
      </w:r>
    </w:p>
    <w:p w:rsidR="000E0995" w:rsidRDefault="000E0995">
      <w:pPr>
        <w:adjustRightInd w:val="0"/>
        <w:snapToGrid w:val="0"/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0E0995" w:rsidRDefault="000E0995">
      <w:pPr>
        <w:adjustRightInd w:val="0"/>
        <w:snapToGrid w:val="0"/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0E0995" w:rsidRDefault="000E0995">
      <w:pPr>
        <w:adjustRightInd w:val="0"/>
        <w:snapToGrid w:val="0"/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0E0995" w:rsidRDefault="000E0995">
      <w:pPr>
        <w:adjustRightInd w:val="0"/>
        <w:snapToGrid w:val="0"/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0E0995" w:rsidRDefault="000E0995">
      <w:pPr>
        <w:adjustRightInd w:val="0"/>
        <w:snapToGrid w:val="0"/>
        <w:spacing w:line="360" w:lineRule="auto"/>
        <w:ind w:firstLineChars="200" w:firstLine="560"/>
        <w:rPr>
          <w:rFonts w:ascii="楷体" w:eastAsia="楷体" w:hAnsi="楷体" w:cs="仿宋"/>
          <w:sz w:val="28"/>
          <w:szCs w:val="28"/>
        </w:rPr>
      </w:pPr>
    </w:p>
    <w:p w:rsidR="000E0995" w:rsidRDefault="00DD380D">
      <w:pPr>
        <w:spacing w:line="440" w:lineRule="exact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北京国家会计学院教务部</w:t>
      </w:r>
    </w:p>
    <w:p w:rsidR="000E0995" w:rsidRDefault="00DD380D">
      <w:pPr>
        <w:wordWrap w:val="0"/>
        <w:spacing w:line="440" w:lineRule="exact"/>
        <w:jc w:val="right"/>
        <w:rPr>
          <w:rFonts w:ascii="宋体" w:hAnsi="宋体"/>
          <w:sz w:val="24"/>
          <w:szCs w:val="24"/>
        </w:rPr>
      </w:pPr>
      <w:r>
        <w:rPr>
          <w:rFonts w:ascii="楷体" w:eastAsia="楷体" w:hAnsi="楷体" w:hint="eastAsia"/>
          <w:sz w:val="28"/>
          <w:szCs w:val="28"/>
        </w:rPr>
        <w:t>2024</w:t>
      </w:r>
      <w:r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 w:hint="eastAsia"/>
          <w:sz w:val="28"/>
          <w:szCs w:val="28"/>
        </w:rPr>
        <w:t>1</w:t>
      </w:r>
      <w:r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 </w:t>
      </w:r>
    </w:p>
    <w:p w:rsidR="000E0995" w:rsidRDefault="000E0995">
      <w:pPr>
        <w:widowControl/>
        <w:shd w:val="clear" w:color="auto" w:fill="FFFFFF"/>
        <w:spacing w:line="360" w:lineRule="auto"/>
        <w:rPr>
          <w:rFonts w:ascii="仿宋" w:eastAsia="仿宋" w:hAnsi="仿宋" w:cs="仿宋_GB2312"/>
          <w:sz w:val="28"/>
          <w:szCs w:val="28"/>
        </w:rPr>
      </w:pPr>
    </w:p>
    <w:p w:rsidR="000E0995" w:rsidRDefault="000E0995">
      <w:pPr>
        <w:widowControl/>
        <w:shd w:val="clear" w:color="auto" w:fill="FFFFFF"/>
        <w:spacing w:line="360" w:lineRule="auto"/>
        <w:rPr>
          <w:rFonts w:ascii="仿宋" w:eastAsia="仿宋" w:hAnsi="仿宋" w:cs="仿宋_GB2312"/>
          <w:sz w:val="28"/>
          <w:szCs w:val="28"/>
        </w:rPr>
      </w:pPr>
    </w:p>
    <w:p w:rsidR="000E0995" w:rsidRDefault="000E0995">
      <w:pPr>
        <w:widowControl/>
        <w:shd w:val="clear" w:color="auto" w:fill="FFFFFF"/>
        <w:spacing w:line="360" w:lineRule="auto"/>
        <w:rPr>
          <w:rFonts w:ascii="仿宋" w:eastAsia="仿宋" w:hAnsi="仿宋" w:cs="仿宋_GB2312"/>
          <w:sz w:val="28"/>
          <w:szCs w:val="28"/>
        </w:rPr>
      </w:pPr>
    </w:p>
    <w:p w:rsidR="000E0995" w:rsidRDefault="000E0995">
      <w:pPr>
        <w:widowControl/>
        <w:shd w:val="clear" w:color="auto" w:fill="FFFFFF"/>
        <w:spacing w:line="360" w:lineRule="auto"/>
        <w:rPr>
          <w:rFonts w:ascii="仿宋" w:eastAsia="仿宋" w:hAnsi="仿宋" w:cs="仿宋_GB2312"/>
          <w:sz w:val="28"/>
          <w:szCs w:val="28"/>
        </w:rPr>
      </w:pPr>
    </w:p>
    <w:p w:rsidR="000E0995" w:rsidRDefault="000E0995">
      <w:pPr>
        <w:widowControl/>
        <w:shd w:val="clear" w:color="auto" w:fill="FFFFFF"/>
        <w:spacing w:line="360" w:lineRule="auto"/>
        <w:rPr>
          <w:rFonts w:ascii="仿宋" w:eastAsia="仿宋" w:hAnsi="仿宋" w:cs="仿宋_GB2312"/>
          <w:sz w:val="28"/>
          <w:szCs w:val="28"/>
        </w:rPr>
      </w:pPr>
    </w:p>
    <w:p w:rsidR="000E0995" w:rsidRDefault="000E0995">
      <w:pPr>
        <w:widowControl/>
        <w:shd w:val="clear" w:color="auto" w:fill="FFFFFF"/>
        <w:spacing w:line="360" w:lineRule="auto"/>
        <w:rPr>
          <w:rFonts w:ascii="仿宋" w:eastAsia="仿宋" w:hAnsi="仿宋" w:cs="仿宋_GB2312"/>
          <w:sz w:val="28"/>
          <w:szCs w:val="28"/>
        </w:rPr>
      </w:pPr>
    </w:p>
    <w:p w:rsidR="000E0995" w:rsidRDefault="000E0995">
      <w:pPr>
        <w:widowControl/>
        <w:shd w:val="clear" w:color="auto" w:fill="FFFFFF"/>
        <w:spacing w:line="360" w:lineRule="auto"/>
        <w:rPr>
          <w:rFonts w:ascii="仿宋" w:eastAsia="仿宋" w:hAnsi="仿宋" w:cs="仿宋_GB2312"/>
          <w:sz w:val="28"/>
          <w:szCs w:val="28"/>
        </w:rPr>
      </w:pPr>
    </w:p>
    <w:p w:rsidR="000E0995" w:rsidRDefault="000E0995">
      <w:pPr>
        <w:widowControl/>
        <w:shd w:val="clear" w:color="auto" w:fill="FFFFFF"/>
        <w:spacing w:line="360" w:lineRule="auto"/>
        <w:rPr>
          <w:rFonts w:ascii="仿宋" w:eastAsia="仿宋" w:hAnsi="仿宋" w:cs="仿宋_GB2312"/>
          <w:sz w:val="28"/>
          <w:szCs w:val="28"/>
        </w:rPr>
      </w:pPr>
    </w:p>
    <w:p w:rsidR="000E0995" w:rsidRDefault="00DD380D">
      <w:pPr>
        <w:spacing w:line="440" w:lineRule="exact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lastRenderedPageBreak/>
        <w:t>2024</w:t>
      </w:r>
      <w:r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年《</w:t>
      </w:r>
      <w:r w:rsidRPr="00DD380D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卓越审计经理特训营</w:t>
      </w:r>
      <w:bookmarkStart w:id="0" w:name="_GoBack"/>
      <w:bookmarkEnd w:id="0"/>
      <w:r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》报名回执表</w:t>
      </w:r>
    </w:p>
    <w:tbl>
      <w:tblPr>
        <w:tblpPr w:leftFromText="180" w:rightFromText="180" w:vertAnchor="text" w:horzAnchor="page" w:tblpX="1455" w:tblpY="156"/>
        <w:tblOverlap w:val="never"/>
        <w:tblW w:w="9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709"/>
        <w:gridCol w:w="1701"/>
        <w:gridCol w:w="1785"/>
        <w:gridCol w:w="75"/>
        <w:gridCol w:w="2372"/>
      </w:tblGrid>
      <w:tr w:rsidR="000E0995">
        <w:trPr>
          <w:trHeight w:val="55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autoSpaceDN w:val="0"/>
              <w:spacing w:before="156" w:after="156"/>
              <w:rPr>
                <w:rFonts w:ascii="仿宋" w:eastAsia="仿宋" w:hAnsi="仿宋"/>
                <w:color w:val="58595B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autoSpaceDN w:val="0"/>
              <w:jc w:val="center"/>
              <w:rPr>
                <w:rFonts w:ascii="仿宋" w:eastAsia="仿宋" w:hAnsi="仿宋"/>
                <w:color w:val="58595B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autoSpaceDN w:val="0"/>
              <w:jc w:val="center"/>
              <w:rPr>
                <w:rFonts w:ascii="仿宋" w:eastAsia="仿宋" w:hAnsi="仿宋"/>
                <w:color w:val="58595B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传真号码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autoSpaceDN w:val="0"/>
              <w:jc w:val="center"/>
              <w:rPr>
                <w:rFonts w:ascii="仿宋" w:eastAsia="仿宋" w:hAnsi="仿宋"/>
                <w:color w:val="58595B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0995">
        <w:trPr>
          <w:trHeight w:val="5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仿宋" w:eastAsia="仿宋" w:hAnsi="仿宋"/>
                <w:color w:val="58595B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eastAsia="仿宋" w:hAnsi="仿宋"/>
                <w:color w:val="58595B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pacing w:val="-2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eastAsia="仿宋" w:hAnsi="仿宋"/>
                <w:color w:val="58595B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仿宋" w:eastAsia="仿宋" w:hAnsi="仿宋"/>
                <w:color w:val="58595B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0995">
        <w:trPr>
          <w:trHeight w:val="6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学员姓名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tabs>
                <w:tab w:val="left" w:pos="360"/>
                <w:tab w:val="left" w:pos="540"/>
              </w:tabs>
              <w:autoSpaceDN w:val="0"/>
              <w:rPr>
                <w:rFonts w:ascii="仿宋" w:eastAsia="仿宋" w:hAnsi="仿宋"/>
                <w:color w:val="000000"/>
                <w:spacing w:val="-26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pacing w:val="-26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tabs>
                <w:tab w:val="left" w:pos="360"/>
                <w:tab w:val="left" w:pos="540"/>
              </w:tabs>
              <w:autoSpaceDN w:val="0"/>
              <w:rPr>
                <w:rFonts w:ascii="仿宋" w:eastAsia="仿宋" w:hAnsi="仿宋"/>
                <w:color w:val="000000"/>
                <w:spacing w:val="-26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pacing w:val="-26"/>
                <w:sz w:val="24"/>
                <w:szCs w:val="24"/>
              </w:rPr>
              <w:t>部门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职务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联系电话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电子邮箱</w:t>
            </w:r>
          </w:p>
        </w:tc>
      </w:tr>
      <w:tr w:rsidR="000E0995">
        <w:trPr>
          <w:trHeight w:val="5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 xml:space="preserve"> </w:t>
            </w:r>
          </w:p>
        </w:tc>
      </w:tr>
      <w:tr w:rsidR="000E0995">
        <w:trPr>
          <w:trHeight w:val="5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0E0995">
        <w:trPr>
          <w:trHeight w:val="5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0E0995">
        <w:trPr>
          <w:trHeight w:val="5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0E0995">
        <w:trPr>
          <w:trHeight w:val="5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0E0995">
        <w:trPr>
          <w:trHeight w:val="5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0E0995">
        <w:trPr>
          <w:trHeight w:val="5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0E0995">
        <w:trPr>
          <w:trHeight w:val="5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0E0995">
        <w:trPr>
          <w:trHeight w:val="5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0E0995">
        <w:trPr>
          <w:trHeight w:val="5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0E0995">
        <w:trPr>
          <w:trHeight w:val="5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0E0995">
        <w:trPr>
          <w:trHeight w:val="5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0E0995">
        <w:trPr>
          <w:trHeight w:val="5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0E0995">
        <w:trPr>
          <w:trHeight w:val="5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0E0995"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0E0995">
        <w:trPr>
          <w:trHeight w:val="5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课程选择</w:t>
            </w:r>
          </w:p>
        </w:tc>
        <w:tc>
          <w:tcPr>
            <w:tcW w:w="8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</w:rPr>
              <w:t>开班时间：</w:t>
            </w:r>
            <w:r>
              <w:rPr>
                <w:rFonts w:ascii="仿宋" w:eastAsia="仿宋" w:hAnsi="仿宋" w:hint="eastAsia"/>
                <w:u w:val="single"/>
              </w:rPr>
              <w:t xml:space="preserve"> </w:t>
            </w:r>
            <w:r>
              <w:rPr>
                <w:rFonts w:ascii="仿宋" w:eastAsia="仿宋" w:hAnsi="仿宋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</w:rPr>
              <w:t>月；期数：第</w:t>
            </w:r>
            <w:r>
              <w:rPr>
                <w:rFonts w:ascii="仿宋" w:eastAsia="仿宋" w:hAnsi="仿宋" w:hint="eastAsia"/>
                <w:u w:val="single"/>
              </w:rPr>
              <w:t xml:space="preserve"> </w:t>
            </w:r>
            <w:r>
              <w:rPr>
                <w:rFonts w:ascii="仿宋" w:eastAsia="仿宋" w:hAnsi="仿宋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</w:rPr>
              <w:t>期（请在横线中填写）</w:t>
            </w:r>
          </w:p>
        </w:tc>
      </w:tr>
      <w:tr w:rsidR="000E0995">
        <w:trPr>
          <w:trHeight w:val="1357"/>
        </w:trPr>
        <w:tc>
          <w:tcPr>
            <w:tcW w:w="9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95" w:rsidRDefault="00DD380D">
            <w:pPr>
              <w:spacing w:line="360" w:lineRule="auto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报名咨询：</w:t>
            </w:r>
          </w:p>
          <w:p w:rsidR="000E0995" w:rsidRDefault="00DD380D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联系人：李老师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手机：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15652426725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（同微信）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邮箱：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2635131094@qq.com</w:t>
            </w:r>
          </w:p>
          <w:p w:rsidR="000E0995" w:rsidRDefault="00DD380D">
            <w:pPr>
              <w:spacing w:line="360" w:lineRule="auto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注：请将报名回执表填写完整回复到报名邮箱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accountant_cfo@163.com</w:t>
            </w:r>
          </w:p>
        </w:tc>
      </w:tr>
    </w:tbl>
    <w:p w:rsidR="000E0995" w:rsidRDefault="000E0995">
      <w:pPr>
        <w:widowControl/>
        <w:shd w:val="clear" w:color="auto" w:fill="FFFFFF"/>
        <w:spacing w:line="240" w:lineRule="exact"/>
        <w:rPr>
          <w:rFonts w:ascii="仿宋" w:eastAsia="仿宋" w:hAnsi="仿宋" w:cs="仿宋_GB2312"/>
          <w:sz w:val="28"/>
          <w:szCs w:val="28"/>
        </w:rPr>
      </w:pPr>
    </w:p>
    <w:sectPr w:rsidR="000E0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0D" w:rsidRDefault="00DD380D" w:rsidP="00DD380D">
      <w:r>
        <w:separator/>
      </w:r>
    </w:p>
  </w:endnote>
  <w:endnote w:type="continuationSeparator" w:id="0">
    <w:p w:rsidR="00DD380D" w:rsidRDefault="00DD380D" w:rsidP="00DD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0D" w:rsidRDefault="00DD380D" w:rsidP="00DD380D">
      <w:r>
        <w:separator/>
      </w:r>
    </w:p>
  </w:footnote>
  <w:footnote w:type="continuationSeparator" w:id="0">
    <w:p w:rsidR="00DD380D" w:rsidRDefault="00DD380D" w:rsidP="00DD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4B3530"/>
    <w:rsid w:val="000A55FA"/>
    <w:rsid w:val="000B208B"/>
    <w:rsid w:val="000C6018"/>
    <w:rsid w:val="000E0995"/>
    <w:rsid w:val="0012303C"/>
    <w:rsid w:val="0018085F"/>
    <w:rsid w:val="003C73A8"/>
    <w:rsid w:val="00422935"/>
    <w:rsid w:val="00450757"/>
    <w:rsid w:val="00454224"/>
    <w:rsid w:val="004B3530"/>
    <w:rsid w:val="004D39B8"/>
    <w:rsid w:val="006B25C0"/>
    <w:rsid w:val="007421DF"/>
    <w:rsid w:val="008E6CBA"/>
    <w:rsid w:val="00910801"/>
    <w:rsid w:val="00992D4B"/>
    <w:rsid w:val="009B01E8"/>
    <w:rsid w:val="009F5D42"/>
    <w:rsid w:val="00A4568F"/>
    <w:rsid w:val="00B241EC"/>
    <w:rsid w:val="00BF0F0B"/>
    <w:rsid w:val="00D624CA"/>
    <w:rsid w:val="00D80DB9"/>
    <w:rsid w:val="00DD380D"/>
    <w:rsid w:val="00E3014C"/>
    <w:rsid w:val="00E655AD"/>
    <w:rsid w:val="00EB012F"/>
    <w:rsid w:val="00F63418"/>
    <w:rsid w:val="4D855289"/>
    <w:rsid w:val="7685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17DFE"/>
  <w15:docId w15:val="{32E2A598-7074-46BB-8205-3CB66423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358</Words>
  <Characters>2043</Characters>
  <Application>Microsoft Office Word</Application>
  <DocSecurity>0</DocSecurity>
  <Lines>17</Lines>
  <Paragraphs>4</Paragraphs>
  <ScaleCrop>false</ScaleCrop>
  <Company>DoubleOX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David-Ding</dc:creator>
  <cp:lastModifiedBy>wuty</cp:lastModifiedBy>
  <cp:revision>10</cp:revision>
  <dcterms:created xsi:type="dcterms:W3CDTF">2023-12-26T14:52:00Z</dcterms:created>
  <dcterms:modified xsi:type="dcterms:W3CDTF">2024-01-12T07:28:00Z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789CBF0A0B6343B5A71C774512AD6781_12</vt:lpwstr>
  </property>
</Properties>
</file>