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outlineLvl w:val="2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“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资金管理与投融资实务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”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高级研修班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一、培训背景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管理中，现金流状况决定了企业的生存和发展能力，良性的现金流才能使企业健康成长。泡沫经济的崩溃和近年的金融危机已经证明，企业经营要注重效益，更要注重收益质量，避免出现“有利润却见不到钱”等情况。资金管理作为企业价值创造体系乃至企业运营管理的核心，是企业的造血机器及活力来源。资金不仅决定了企业经济活动的行为和效率，更为企业扩张发展提供了更多可能，帮助企业明确发展方向，优化配置财务资源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随着金融市场改革不断深化，新技术催生新的金融工具和新商业模式的出现。资管新规的出台，投融资环境发生了重大变化，企业必须应对新形势新变化，根据自身的实际需要设计多元的投融资方式，开拓低成本融资渠道，努力提升资金使用效率、降低资金使用成本，有效防范和化解资金风险。鉴于此，北京国家会计学院从自身研究优势与培训特色出发，2024年推出《资金管理与投融资实务》高级研修班，欢迎各企业组织相关人员参加学习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二、培训收益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1.了解资金管理模式，提高资金使用效率和资金管理的能力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2.把握金融宏观大势，掌握新背景下的企业融资管理体系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3.学习和掌握如何通过适当的手段实现现金流的有效管控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三、培训对象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1.企业财务总监、总会计师、投融资决策负责人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2.财务经理、资金经理，财务部、资金部或从事资金管理工作的相关人员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3.金融行业相关从业人员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4.会计师事务所从业人员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5.高校从事财务理论研究与实务教学的教师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四、培训内容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(一)资金管理模式创新与实践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1.现金为王与资金管理的目标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2.经济活动的传统分类与资金管理框架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3.经济活动的重新分类与资金管理新框架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4.营运资金的重新界定与分类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5.营运资金绩效评价体系创新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6.营运资金与财务风险评估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7.业务流程和商业模式创新与资金管理创新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8.管理体制创新与资金管理创新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9.混合所有制与资金管理创新 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（二）资金集中管理与风险控制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1.资金集中控制产生的背景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2.资金集中控制的三大进程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3.构建资金集中控制与结算的全面风险控制体系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4.财务公司关键控制问题（集团与财务公司共担）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5.跨国公司前沿的资金运作模式及金融创新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（三）资金集中（司库）管理与财务资源配置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1.企业集团资金控制模式的目标和原则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2.企业集团的结构特点与资金控制模式的选择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3.以价值链管理为核心的资金控制模式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4.资金集中（司库）组织机构规划与设计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5.资金集中（司库）业务流程规划与设计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6.资金集中（司库）管理与其他管理体系的协调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7.资金集中（司库）风险管理体系建设案例分享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（四）基于新背景下的企业投融资战略与创新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1.宏观经济形势与企业战略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2.企业战略创新与投融资决策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3.企业投资决策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4.金融市场的规范与创新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5.企业融资工具与企业融资策略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6.融资创新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7.典型案例分析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（五）投融资业务与现金流管理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1.金融市场的融资模式规范与创新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2.传统融资模式及应用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3.商业银行金融产品创新及现金流管理应用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4.项目融资与现金流管理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5.并购重组的融资决策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6.信托融资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7.私募股权基金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8.永续债与永续中票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9.资产证券化与REITs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</w:t>
      </w:r>
      <w:r>
        <w:rPr>
          <w:rFonts w:ascii="仿宋" w:hAnsi="仿宋" w:eastAsia="仿宋" w:cs="仿宋"/>
          <w:b/>
          <w:sz w:val="28"/>
          <w:szCs w:val="28"/>
        </w:rPr>
        <w:t>、师资力量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本课程由北京国家会计学院精心组织的专门师资团队授课。授课老师均具有深厚的理论功底及丰富的实践经验，包括北京国家会计学院教授、实务界资深专家、政策制定者等。具体师资以实际课表为准。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六、时间地点</w:t>
      </w:r>
    </w:p>
    <w:tbl>
      <w:tblPr>
        <w:tblStyle w:val="5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502"/>
        <w:gridCol w:w="1521"/>
        <w:gridCol w:w="2052"/>
        <w:gridCol w:w="1975"/>
        <w:gridCol w:w="14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期数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返程时间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总第1期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5月14日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5月15日-17日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总第2期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7月15日-17日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7月18日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总第3期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9月22日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9月23日-25日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9月26日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总第4期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11月21日-23日</w:t>
            </w:r>
          </w:p>
        </w:tc>
        <w:tc>
          <w:tcPr>
            <w:tcW w:w="1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11月24日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武汉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七、收费标准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培训费: 4800元/人（含培训费、电子资料费、场地费、结业证书等费用）；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2.在北京国家会计学院举办的培训可提供食宿。就餐为自助餐，收费标准为120元/人天。住宿条件为单人标准间，收费标准普通间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34</w:t>
      </w:r>
      <w:r>
        <w:rPr>
          <w:rFonts w:hint="eastAsia" w:ascii="仿宋" w:hAnsi="仿宋" w:eastAsia="仿宋" w:cs="仿宋"/>
          <w:sz w:val="28"/>
          <w:szCs w:val="28"/>
        </w:rPr>
        <w:t>0元/人天，商务间550元/人天，新商务间650元/人天（住宿费用含游泳、健身、净娱乐、宽带上网等费用），在京外举办的培训由当地酒店提供食宿，统一安排，费用自理。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缴费方式：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1、报到时现场刷卡或扫码支付；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2、银行汇款（培训费可汇款，食宿费需当场缴纳）：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单位名称：北京国家会计学院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开户行：中国建设银行北京天竺支行（201）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账  号：1100 1020 1000 5603 0985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注：汇款的学员请于报到当日持汇款复印件报到，否则视同未汇款，需重新交纳培训费用；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八、结业证书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结束后由北京国家会计学院颁发电子版结业证书。</w:t>
      </w:r>
    </w:p>
    <w:p>
      <w:pPr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北京国家会计学院教务部</w:t>
      </w:r>
    </w:p>
    <w:p>
      <w:pPr>
        <w:wordWrap w:val="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2024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 xml:space="preserve">年1月    </w:t>
      </w: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2024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《资金管理与投融资实务》报名回执表</w:t>
      </w:r>
    </w:p>
    <w:tbl>
      <w:tblPr>
        <w:tblStyle w:val="5"/>
        <w:tblpPr w:leftFromText="180" w:rightFromText="180" w:vertAnchor="text" w:horzAnchor="page" w:tblpX="1455" w:tblpY="156"/>
        <w:tblOverlap w:val="never"/>
        <w:tblW w:w="9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709"/>
        <w:gridCol w:w="709"/>
        <w:gridCol w:w="709"/>
        <w:gridCol w:w="1701"/>
        <w:gridCol w:w="1785"/>
        <w:gridCol w:w="75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56" w:after="156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传真号码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  <w:t>部门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职务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联系电话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课程选择</w:t>
            </w:r>
          </w:p>
        </w:tc>
        <w:tc>
          <w:tcPr>
            <w:tcW w:w="80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</w:rPr>
              <w:t>开班时间：</w:t>
            </w: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月；期数：第</w:t>
            </w: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期（请在横线中填写）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93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报名咨询：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联系人：李老师     手机：15652426725（同微信）     邮箱：2635131094@qq.com</w:t>
            </w:r>
          </w:p>
          <w:p>
            <w:pPr>
              <w:spacing w:line="360" w:lineRule="auto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注：请将报名回执表填写完整回复到报名邮箱 accountant_cfo@163.com</w:t>
            </w:r>
          </w:p>
        </w:tc>
      </w:tr>
    </w:tbl>
    <w:p>
      <w:pPr>
        <w:spacing w:line="120" w:lineRule="exact"/>
        <w:rPr>
          <w:rFonts w:ascii="仿宋" w:hAnsi="仿宋" w:eastAsia="仿宋" w:cs="仿宋"/>
          <w:sz w:val="30"/>
          <w:szCs w:val="30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3D533F"/>
    <w:rsid w:val="00151914"/>
    <w:rsid w:val="003D533F"/>
    <w:rsid w:val="003F113B"/>
    <w:rsid w:val="004D6986"/>
    <w:rsid w:val="007178D2"/>
    <w:rsid w:val="007A64AC"/>
    <w:rsid w:val="007D56D0"/>
    <w:rsid w:val="00A944B7"/>
    <w:rsid w:val="00CB10A2"/>
    <w:rsid w:val="00DA2084"/>
    <w:rsid w:val="00E17941"/>
    <w:rsid w:val="00E64F64"/>
    <w:rsid w:val="00F439E0"/>
    <w:rsid w:val="3CCC51C3"/>
    <w:rsid w:val="3EDF1433"/>
    <w:rsid w:val="5B7C6132"/>
    <w:rsid w:val="7E8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343</Words>
  <Characters>1958</Characters>
  <Lines>16</Lines>
  <Paragraphs>4</Paragraphs>
  <TotalTime>128</TotalTime>
  <ScaleCrop>false</ScaleCrop>
  <LinksUpToDate>false</LinksUpToDate>
  <CharactersWithSpaces>2297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2023-12-24T10:35:00Z</dcterms:created>
  <dc:creator>David-Ding</dc:creator>
  <cp:lastModifiedBy>Gloria Wu</cp:lastModifiedBy>
  <dcterms:modified xsi:type="dcterms:W3CDTF">2023-12-29T06:21:49Z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7954B3F722AC45099F7DFDCDD324C848_12</vt:lpwstr>
  </property>
</Properties>
</file>