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240"/>
        <w:jc w:val="center"/>
        <w:outlineLvl w:val="2"/>
        <w:rPr>
          <w:rFonts w:ascii="宋体" w:hAnsi="宋体" w:cs="宋体"/>
          <w:b/>
          <w:bCs/>
          <w:kern w:val="0"/>
          <w:sz w:val="30"/>
          <w:szCs w:val="30"/>
        </w:rPr>
      </w:pPr>
      <w:r>
        <w:rPr>
          <w:rFonts w:hint="eastAsia" w:ascii="宋体" w:hAnsi="宋体" w:cs="宋体"/>
          <w:b/>
          <w:bCs/>
          <w:kern w:val="0"/>
          <w:sz w:val="30"/>
          <w:szCs w:val="30"/>
          <w:lang w:eastAsia="zh-CN"/>
        </w:rPr>
        <w:t>“</w:t>
      </w:r>
      <w:r>
        <w:rPr>
          <w:rFonts w:hint="eastAsia" w:ascii="宋体" w:hAnsi="宋体" w:cs="宋体"/>
          <w:b/>
          <w:bCs/>
          <w:kern w:val="0"/>
          <w:sz w:val="30"/>
          <w:szCs w:val="30"/>
        </w:rPr>
        <w:t>新形势下企业内部审计高质量发展实践</w:t>
      </w:r>
      <w:r>
        <w:rPr>
          <w:rFonts w:hint="eastAsia" w:ascii="宋体" w:hAnsi="宋体" w:cs="宋体"/>
          <w:b/>
          <w:bCs/>
          <w:kern w:val="0"/>
          <w:sz w:val="30"/>
          <w:szCs w:val="30"/>
          <w:lang w:eastAsia="zh-CN"/>
        </w:rPr>
        <w:t>”</w:t>
      </w:r>
      <w:r>
        <w:rPr>
          <w:rFonts w:hint="eastAsia" w:ascii="宋体" w:hAnsi="宋体" w:cs="宋体"/>
          <w:b/>
          <w:bCs/>
          <w:kern w:val="0"/>
          <w:sz w:val="30"/>
          <w:szCs w:val="30"/>
        </w:rPr>
        <w:t>高级研修班</w:t>
      </w:r>
    </w:p>
    <w:p>
      <w:pPr>
        <w:spacing w:line="360" w:lineRule="auto"/>
        <w:rPr>
          <w:rFonts w:ascii="仿宋" w:hAnsi="仿宋" w:eastAsia="仿宋" w:cs="仿宋_GB2312"/>
          <w:b/>
          <w:bCs/>
          <w:sz w:val="28"/>
          <w:szCs w:val="28"/>
        </w:rPr>
      </w:pPr>
      <w:r>
        <w:rPr>
          <w:rFonts w:hint="eastAsia" w:ascii="仿宋" w:hAnsi="仿宋" w:eastAsia="仿宋" w:cs="仿宋_GB2312"/>
          <w:b/>
          <w:bCs/>
          <w:sz w:val="28"/>
          <w:szCs w:val="28"/>
        </w:rPr>
        <w:t>一、培训背景</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中央审计委员会的成立是推进国家治理体系和治理能力现代化的一场深刻变革，是推进审计管理体制改革的伟大创举，也是我国审计改革和发展的里程碑。在此之后，《审计署关于内部审计工作的规定》的发布,使得内部审计工作得到前所未有的重视，是我国依法治国，不断完善审计相关法律法规的重要体现。这既给内部审计工作提供了更为宽广的空间,也对内部审计提出了更高的要求。</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北京国家会计学院已经成功举办了八十多期涉及内部审计主题的高级研修班，积累了大量教学案例。为了帮助各单位全面强化内部审计专业技能，提高内部审计人员综合素质，面对新形势，学会综合运用各种新技术、新方法，推动内部审计的转型升级，继续推出《</w:t>
      </w:r>
      <w:r>
        <w:rPr>
          <w:rFonts w:hint="eastAsia" w:ascii="仿宋" w:hAnsi="仿宋" w:eastAsia="仿宋" w:cs="仿宋_GB2312"/>
          <w:sz w:val="28"/>
          <w:szCs w:val="28"/>
        </w:rPr>
        <w:t>新形势下企业内部审计高质量发展实践</w:t>
      </w:r>
      <w:r>
        <w:rPr>
          <w:rFonts w:ascii="仿宋" w:hAnsi="仿宋" w:eastAsia="仿宋" w:cs="仿宋_GB2312"/>
          <w:sz w:val="28"/>
          <w:szCs w:val="28"/>
        </w:rPr>
        <w:t>》高级研修班。</w:t>
      </w:r>
    </w:p>
    <w:p>
      <w:pPr>
        <w:spacing w:line="360" w:lineRule="auto"/>
        <w:rPr>
          <w:rFonts w:ascii="仿宋" w:hAnsi="仿宋" w:eastAsia="仿宋" w:cs="仿宋_GB2312"/>
          <w:b/>
          <w:bCs/>
          <w:sz w:val="28"/>
          <w:szCs w:val="28"/>
        </w:rPr>
      </w:pPr>
      <w:r>
        <w:rPr>
          <w:rFonts w:hint="eastAsia" w:ascii="仿宋" w:hAnsi="仿宋" w:eastAsia="仿宋" w:cs="仿宋_GB2312"/>
          <w:b/>
          <w:bCs/>
          <w:sz w:val="28"/>
          <w:szCs w:val="28"/>
        </w:rPr>
        <w:t>二、培训收益</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1.帮助学员掌握数字经济时代内部审计的新发展</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2.帮助学员掌握内部审计的最新工具与方法</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3.帮助企业建立健全内部审计制度，提升工作质量</w:t>
      </w:r>
      <w:r>
        <w:rPr>
          <w:rFonts w:hint="eastAsia" w:ascii="仿宋" w:hAnsi="仿宋" w:eastAsia="仿宋" w:cs="仿宋_GB2312"/>
          <w:sz w:val="28"/>
          <w:szCs w:val="28"/>
        </w:rPr>
        <w:t>；</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4.帮助学员了解风险导向审计，内控审计与风险管理审计实务的区别与联系</w:t>
      </w:r>
      <w:r>
        <w:rPr>
          <w:rFonts w:hint="eastAsia" w:ascii="仿宋" w:hAnsi="仿宋" w:eastAsia="仿宋" w:cs="仿宋_GB2312"/>
          <w:sz w:val="28"/>
          <w:szCs w:val="28"/>
        </w:rPr>
        <w:t>；</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5.帮助学员掌握大数据审计的技术和方法，促进企业数字化转型</w:t>
      </w:r>
      <w:r>
        <w:rPr>
          <w:rFonts w:hint="eastAsia" w:ascii="仿宋" w:hAnsi="仿宋" w:eastAsia="仿宋" w:cs="仿宋_GB2312"/>
          <w:sz w:val="28"/>
          <w:szCs w:val="28"/>
        </w:rPr>
        <w:t>。</w:t>
      </w:r>
    </w:p>
    <w:p>
      <w:pPr>
        <w:spacing w:line="360" w:lineRule="auto"/>
        <w:rPr>
          <w:rFonts w:ascii="仿宋" w:hAnsi="仿宋" w:eastAsia="仿宋" w:cs="仿宋_GB2312"/>
          <w:b/>
          <w:bCs/>
          <w:sz w:val="28"/>
          <w:szCs w:val="28"/>
        </w:rPr>
      </w:pPr>
      <w:r>
        <w:rPr>
          <w:rFonts w:hint="eastAsia" w:ascii="仿宋" w:hAnsi="仿宋" w:eastAsia="仿宋" w:cs="仿宋_GB2312"/>
          <w:b/>
          <w:bCs/>
          <w:sz w:val="28"/>
          <w:szCs w:val="28"/>
        </w:rPr>
        <w:t>三</w:t>
      </w:r>
      <w:r>
        <w:rPr>
          <w:rFonts w:ascii="仿宋" w:hAnsi="仿宋" w:eastAsia="仿宋" w:cs="仿宋_GB2312"/>
          <w:b/>
          <w:bCs/>
          <w:sz w:val="28"/>
          <w:szCs w:val="28"/>
        </w:rPr>
        <w:t>、</w:t>
      </w:r>
      <w:r>
        <w:rPr>
          <w:rFonts w:hint="eastAsia" w:ascii="仿宋" w:hAnsi="仿宋" w:eastAsia="仿宋" w:cs="仿宋_GB2312"/>
          <w:b/>
          <w:bCs/>
          <w:sz w:val="28"/>
          <w:szCs w:val="28"/>
        </w:rPr>
        <w:t>培训对象</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1.内审总监、内审经理、内审处长等审计部门负责人及高级主管</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2.银行、保险、</w:t>
      </w:r>
      <w:r>
        <w:rPr>
          <w:rFonts w:hint="eastAsia" w:ascii="仿宋" w:hAnsi="仿宋" w:eastAsia="仿宋" w:cs="仿宋_GB2312"/>
          <w:sz w:val="28"/>
          <w:szCs w:val="28"/>
        </w:rPr>
        <w:t>券商</w:t>
      </w:r>
      <w:r>
        <w:rPr>
          <w:rFonts w:ascii="仿宋" w:hAnsi="仿宋" w:eastAsia="仿宋" w:cs="仿宋_GB2312"/>
          <w:sz w:val="28"/>
          <w:szCs w:val="28"/>
        </w:rPr>
        <w:t>内部稽核部门负责人及高级主管</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3.纪检监察部门负责人及其业务骨干</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4.内部审计部门从业人员</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5.准备从事内部审计行业的注册会计师、会计师等人士</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6.高校从事内部审计理论研究与实务教学的教师</w:t>
      </w:r>
    </w:p>
    <w:p>
      <w:pPr>
        <w:spacing w:line="360" w:lineRule="auto"/>
        <w:rPr>
          <w:rFonts w:ascii="仿宋" w:hAnsi="仿宋" w:eastAsia="仿宋" w:cs="仿宋_GB2312"/>
          <w:b/>
          <w:bCs/>
          <w:sz w:val="28"/>
          <w:szCs w:val="28"/>
        </w:rPr>
      </w:pPr>
      <w:r>
        <w:rPr>
          <w:rFonts w:hint="eastAsia" w:ascii="仿宋" w:hAnsi="仿宋" w:eastAsia="仿宋" w:cs="仿宋_GB2312"/>
          <w:b/>
          <w:bCs/>
          <w:sz w:val="28"/>
          <w:szCs w:val="28"/>
        </w:rPr>
        <w:t>四</w:t>
      </w:r>
      <w:r>
        <w:rPr>
          <w:rFonts w:ascii="仿宋" w:hAnsi="仿宋" w:eastAsia="仿宋" w:cs="仿宋_GB2312"/>
          <w:b/>
          <w:bCs/>
          <w:sz w:val="28"/>
          <w:szCs w:val="28"/>
        </w:rPr>
        <w:t>、</w:t>
      </w:r>
      <w:r>
        <w:rPr>
          <w:rFonts w:hint="eastAsia" w:ascii="仿宋" w:hAnsi="仿宋" w:eastAsia="仿宋" w:cs="仿宋_GB2312"/>
          <w:b/>
          <w:bCs/>
          <w:sz w:val="28"/>
          <w:szCs w:val="28"/>
        </w:rPr>
        <w:t>培训内容</w:t>
      </w:r>
    </w:p>
    <w:p>
      <w:pPr>
        <w:widowControl/>
        <w:shd w:val="clear" w:color="auto" w:fill="FFFFFF"/>
        <w:spacing w:line="360" w:lineRule="auto"/>
        <w:ind w:firstLine="562" w:firstLineChars="200"/>
        <w:rPr>
          <w:rFonts w:ascii="仿宋" w:hAnsi="仿宋" w:eastAsia="仿宋" w:cs="仿宋_GB2312"/>
          <w:b/>
          <w:sz w:val="28"/>
          <w:szCs w:val="28"/>
        </w:rPr>
      </w:pPr>
      <w:r>
        <w:rPr>
          <w:rFonts w:ascii="仿宋" w:hAnsi="仿宋" w:eastAsia="仿宋" w:cs="仿宋_GB2312"/>
          <w:b/>
          <w:sz w:val="28"/>
          <w:szCs w:val="28"/>
        </w:rPr>
        <w:t>（一）</w:t>
      </w:r>
      <w:r>
        <w:rPr>
          <w:rFonts w:hint="eastAsia" w:ascii="仿宋" w:hAnsi="仿宋" w:eastAsia="仿宋" w:cs="仿宋_GB2312"/>
          <w:b/>
          <w:sz w:val="28"/>
          <w:szCs w:val="28"/>
        </w:rPr>
        <w:t>新形势下</w:t>
      </w:r>
      <w:r>
        <w:rPr>
          <w:rFonts w:ascii="仿宋" w:hAnsi="仿宋" w:eastAsia="仿宋" w:cs="仿宋_GB2312"/>
          <w:b/>
          <w:sz w:val="28"/>
          <w:szCs w:val="28"/>
        </w:rPr>
        <w:t>内部审计</w:t>
      </w:r>
      <w:r>
        <w:rPr>
          <w:rFonts w:hint="eastAsia" w:ascii="仿宋" w:hAnsi="仿宋" w:eastAsia="仿宋" w:cs="仿宋_GB2312"/>
          <w:b/>
          <w:sz w:val="28"/>
          <w:szCs w:val="28"/>
        </w:rPr>
        <w:t>的新定位</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1.深入解读《中华人民共和国审计法》</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2.审计署关于内部审计工作的最新规定</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w:t>
      </w:r>
      <w:r>
        <w:rPr>
          <w:rFonts w:ascii="仿宋" w:hAnsi="仿宋" w:eastAsia="仿宋" w:cs="仿宋_GB2312"/>
          <w:sz w:val="28"/>
          <w:szCs w:val="28"/>
        </w:rPr>
        <w:t>.数字经济对于内部审计发展的影响</w:t>
      </w:r>
      <w:r>
        <w:rPr>
          <w:rFonts w:hint="eastAsia" w:ascii="仿宋" w:hAnsi="仿宋" w:eastAsia="仿宋" w:cs="仿宋_GB2312"/>
          <w:sz w:val="28"/>
          <w:szCs w:val="28"/>
        </w:rPr>
        <w:t>与挑战</w:t>
      </w:r>
    </w:p>
    <w:p>
      <w:pPr>
        <w:widowControl/>
        <w:shd w:val="clear" w:color="auto" w:fill="FFFFFF"/>
        <w:spacing w:line="360" w:lineRule="auto"/>
        <w:ind w:firstLine="562" w:firstLineChars="200"/>
        <w:rPr>
          <w:rFonts w:ascii="仿宋" w:hAnsi="仿宋" w:eastAsia="仿宋" w:cs="仿宋_GB2312"/>
          <w:b/>
          <w:sz w:val="28"/>
          <w:szCs w:val="28"/>
        </w:rPr>
      </w:pPr>
      <w:r>
        <w:rPr>
          <w:rFonts w:ascii="仿宋" w:hAnsi="仿宋" w:eastAsia="仿宋" w:cs="仿宋_GB2312"/>
          <w:b/>
          <w:sz w:val="28"/>
          <w:szCs w:val="28"/>
        </w:rPr>
        <w:t>（</w:t>
      </w:r>
      <w:r>
        <w:rPr>
          <w:rFonts w:hint="eastAsia" w:ascii="仿宋" w:hAnsi="仿宋" w:eastAsia="仿宋" w:cs="仿宋_GB2312"/>
          <w:b/>
          <w:sz w:val="28"/>
          <w:szCs w:val="28"/>
        </w:rPr>
        <w:t>二</w:t>
      </w:r>
      <w:r>
        <w:rPr>
          <w:rFonts w:ascii="仿宋" w:hAnsi="仿宋" w:eastAsia="仿宋" w:cs="仿宋_GB2312"/>
          <w:b/>
          <w:sz w:val="28"/>
          <w:szCs w:val="28"/>
        </w:rPr>
        <w:t>）</w:t>
      </w:r>
      <w:r>
        <w:rPr>
          <w:rFonts w:hint="eastAsia" w:ascii="仿宋" w:hAnsi="仿宋" w:eastAsia="仿宋" w:cs="仿宋_GB2312"/>
          <w:b/>
          <w:sz w:val="28"/>
          <w:szCs w:val="28"/>
        </w:rPr>
        <w:t>研究型审计的思考与实践</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1.研究型审计的目标与理念</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2.研究型审计与传统审计的区别</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3.以研究型审计推动内部审计实现高质量发展</w:t>
      </w:r>
    </w:p>
    <w:p>
      <w:pPr>
        <w:widowControl/>
        <w:shd w:val="clear" w:color="auto" w:fill="FFFFFF"/>
        <w:spacing w:line="360" w:lineRule="auto"/>
        <w:ind w:firstLine="562" w:firstLineChars="200"/>
        <w:rPr>
          <w:rFonts w:ascii="仿宋" w:hAnsi="仿宋" w:eastAsia="仿宋" w:cs="仿宋_GB2312"/>
          <w:b/>
          <w:sz w:val="28"/>
          <w:szCs w:val="28"/>
        </w:rPr>
      </w:pPr>
      <w:r>
        <w:rPr>
          <w:rFonts w:ascii="仿宋" w:hAnsi="仿宋" w:eastAsia="仿宋" w:cs="仿宋_GB2312"/>
          <w:b/>
          <w:sz w:val="28"/>
          <w:szCs w:val="28"/>
        </w:rPr>
        <w:t>（</w:t>
      </w:r>
      <w:r>
        <w:rPr>
          <w:rFonts w:hint="eastAsia" w:ascii="仿宋" w:hAnsi="仿宋" w:eastAsia="仿宋" w:cs="仿宋_GB2312"/>
          <w:b/>
          <w:sz w:val="28"/>
          <w:szCs w:val="28"/>
        </w:rPr>
        <w:t>三</w:t>
      </w:r>
      <w:r>
        <w:rPr>
          <w:rFonts w:ascii="仿宋" w:hAnsi="仿宋" w:eastAsia="仿宋" w:cs="仿宋_GB2312"/>
          <w:b/>
          <w:sz w:val="28"/>
          <w:szCs w:val="28"/>
        </w:rPr>
        <w:t>）</w:t>
      </w:r>
      <w:r>
        <w:rPr>
          <w:rFonts w:hint="eastAsia" w:ascii="仿宋" w:hAnsi="仿宋" w:eastAsia="仿宋" w:cs="仿宋_GB2312"/>
          <w:b/>
          <w:sz w:val="28"/>
          <w:szCs w:val="28"/>
        </w:rPr>
        <w:t>高效的内部审计体系建设实务</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1.独立性制度管理体系下的内部审计部门</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2.内部审计人员的职能划分</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3.内部审计工作评价体系</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4.内部审计质量控制体系</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5.内部审计监督审查体系</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6.内部审计结果应用</w:t>
      </w:r>
    </w:p>
    <w:p>
      <w:pPr>
        <w:widowControl/>
        <w:shd w:val="clear" w:color="auto" w:fill="FFFFFF"/>
        <w:spacing w:line="360" w:lineRule="auto"/>
        <w:ind w:firstLine="562" w:firstLineChars="200"/>
        <w:rPr>
          <w:rFonts w:ascii="仿宋" w:hAnsi="仿宋" w:eastAsia="仿宋" w:cs="仿宋_GB2312"/>
          <w:b/>
          <w:sz w:val="28"/>
          <w:szCs w:val="28"/>
        </w:rPr>
      </w:pPr>
      <w:r>
        <w:rPr>
          <w:rFonts w:ascii="仿宋" w:hAnsi="仿宋" w:eastAsia="仿宋" w:cs="仿宋_GB2312"/>
          <w:b/>
          <w:sz w:val="28"/>
          <w:szCs w:val="28"/>
        </w:rPr>
        <w:t>（</w:t>
      </w:r>
      <w:r>
        <w:rPr>
          <w:rFonts w:hint="eastAsia" w:ascii="仿宋" w:hAnsi="仿宋" w:eastAsia="仿宋" w:cs="仿宋_GB2312"/>
          <w:b/>
          <w:sz w:val="28"/>
          <w:szCs w:val="28"/>
        </w:rPr>
        <w:t>四</w:t>
      </w:r>
      <w:r>
        <w:rPr>
          <w:rFonts w:ascii="仿宋" w:hAnsi="仿宋" w:eastAsia="仿宋" w:cs="仿宋_GB2312"/>
          <w:b/>
          <w:sz w:val="28"/>
          <w:szCs w:val="28"/>
        </w:rPr>
        <w:t>）</w:t>
      </w:r>
      <w:r>
        <w:rPr>
          <w:rFonts w:hint="eastAsia" w:ascii="仿宋" w:hAnsi="仿宋" w:eastAsia="仿宋" w:cs="仿宋_GB2312"/>
          <w:b/>
          <w:sz w:val="28"/>
          <w:szCs w:val="28"/>
        </w:rPr>
        <w:t>基于战略风险管控的内部审计</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1.基于风险导向的内部审计</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2.内部审计人员的战略思维</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3.内部审计部门与企业的整体战略协同</w:t>
      </w:r>
    </w:p>
    <w:p>
      <w:pPr>
        <w:widowControl/>
        <w:shd w:val="clear" w:color="auto" w:fill="FFFFFF"/>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（五）内部审计与反舞弊实务</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1.舞弊识别技巧与常见舞弊的类型</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2.内部审计在舞弊中的职责范围界定</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3.舞弊的防范技巧与调查方法</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4.舞弊的报告内容与撰写要点</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5.合规、廉政及反舞弊审计</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6.审计人员长期主义和自我保护</w:t>
      </w:r>
    </w:p>
    <w:p>
      <w:pPr>
        <w:widowControl/>
        <w:shd w:val="clear" w:color="auto" w:fill="FFFFFF"/>
        <w:spacing w:line="360" w:lineRule="auto"/>
        <w:ind w:firstLine="562" w:firstLineChars="200"/>
        <w:rPr>
          <w:rFonts w:ascii="仿宋" w:hAnsi="仿宋" w:eastAsia="仿宋" w:cs="仿宋_GB2312"/>
          <w:b/>
          <w:sz w:val="28"/>
          <w:szCs w:val="28"/>
        </w:rPr>
      </w:pPr>
      <w:r>
        <w:rPr>
          <w:rFonts w:hint="eastAsia" w:ascii="仿宋" w:hAnsi="仿宋" w:eastAsia="仿宋" w:cs="仿宋_GB2312"/>
          <w:b/>
          <w:sz w:val="28"/>
          <w:szCs w:val="28"/>
        </w:rPr>
        <w:t>（六）内部审计实现企业高质量发展</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1.有效增强企业内部控制与公司治理</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2.高效的内部审计实现企业价值增值</w:t>
      </w:r>
    </w:p>
    <w:p>
      <w:pPr>
        <w:widowControl/>
        <w:shd w:val="clear" w:color="auto" w:fill="FFFFFF"/>
        <w:spacing w:line="360" w:lineRule="auto"/>
        <w:ind w:firstLine="560" w:firstLineChars="200"/>
        <w:rPr>
          <w:rFonts w:ascii="仿宋" w:hAnsi="仿宋" w:eastAsia="仿宋" w:cs="仿宋_GB2312"/>
          <w:sz w:val="28"/>
          <w:szCs w:val="28"/>
        </w:rPr>
      </w:pPr>
      <w:r>
        <w:rPr>
          <w:rFonts w:hint="eastAsia" w:ascii="仿宋" w:hAnsi="仿宋" w:eastAsia="仿宋" w:cs="仿宋_GB2312"/>
          <w:sz w:val="28"/>
          <w:szCs w:val="28"/>
        </w:rPr>
        <w:t>3.完善企业合规经营有效降低法律风险</w:t>
      </w:r>
    </w:p>
    <w:p>
      <w:pPr>
        <w:widowControl/>
        <w:shd w:val="clear" w:color="auto" w:fill="FFFFFF"/>
        <w:spacing w:line="360" w:lineRule="auto"/>
        <w:rPr>
          <w:rFonts w:ascii="仿宋" w:hAnsi="仿宋" w:eastAsia="仿宋" w:cs="华文仿宋"/>
          <w:spacing w:val="6"/>
          <w:kern w:val="0"/>
          <w:sz w:val="28"/>
          <w:szCs w:val="28"/>
        </w:rPr>
      </w:pPr>
      <w:r>
        <w:rPr>
          <w:rFonts w:hint="eastAsia" w:ascii="仿宋" w:hAnsi="仿宋" w:eastAsia="仿宋" w:cs="仿宋_GB2312"/>
          <w:b/>
          <w:sz w:val="28"/>
          <w:szCs w:val="28"/>
        </w:rPr>
        <w:t>五</w:t>
      </w:r>
      <w:r>
        <w:rPr>
          <w:rFonts w:hint="eastAsia" w:ascii="仿宋" w:hAnsi="仿宋" w:eastAsia="仿宋" w:cs="华文仿宋"/>
          <w:b/>
          <w:bCs/>
          <w:spacing w:val="5"/>
          <w:kern w:val="0"/>
          <w:sz w:val="28"/>
          <w:szCs w:val="28"/>
        </w:rPr>
        <w:t>、师资力量</w:t>
      </w:r>
    </w:p>
    <w:p>
      <w:pPr>
        <w:widowControl/>
        <w:shd w:val="clear" w:color="auto" w:fill="FFFFFF"/>
        <w:spacing w:line="360" w:lineRule="auto"/>
        <w:ind w:firstLine="560" w:firstLineChars="200"/>
        <w:rPr>
          <w:rFonts w:ascii="仿宋" w:hAnsi="仿宋" w:eastAsia="仿宋" w:cs="仿宋_GB2312"/>
          <w:sz w:val="28"/>
          <w:szCs w:val="28"/>
        </w:rPr>
      </w:pPr>
      <w:r>
        <w:rPr>
          <w:rFonts w:ascii="仿宋" w:hAnsi="仿宋" w:eastAsia="仿宋" w:cs="仿宋_GB2312"/>
          <w:sz w:val="28"/>
          <w:szCs w:val="28"/>
        </w:rPr>
        <w:t>所有课程由北京国家会计学院精心组织的专门师资团队授课，授课老师分别来自高校、实务届、政府部门，皆具有深厚理论功底及丰富实践经验。具体师资以实际课表为准。</w:t>
      </w:r>
    </w:p>
    <w:p>
      <w:pPr>
        <w:widowControl/>
        <w:shd w:val="clear" w:color="auto" w:fill="FFFFFF"/>
        <w:spacing w:line="360" w:lineRule="auto"/>
        <w:rPr>
          <w:rFonts w:ascii="仿宋" w:hAnsi="仿宋" w:eastAsia="仿宋" w:cs="华文仿宋"/>
          <w:b/>
          <w:bCs/>
          <w:spacing w:val="5"/>
          <w:kern w:val="0"/>
          <w:sz w:val="28"/>
          <w:szCs w:val="28"/>
        </w:rPr>
      </w:pPr>
      <w:r>
        <w:rPr>
          <w:rFonts w:hint="eastAsia" w:ascii="仿宋" w:hAnsi="仿宋" w:eastAsia="仿宋" w:cs="华文仿宋"/>
          <w:b/>
          <w:bCs/>
          <w:spacing w:val="5"/>
          <w:kern w:val="0"/>
          <w:sz w:val="28"/>
          <w:szCs w:val="28"/>
        </w:rPr>
        <w:t>六、时间地点</w:t>
      </w:r>
    </w:p>
    <w:tbl>
      <w:tblPr>
        <w:tblStyle w:val="6"/>
        <w:tblW w:w="8317" w:type="dxa"/>
        <w:jc w:val="center"/>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75" w:type="dxa"/>
          <w:left w:w="75" w:type="dxa"/>
          <w:bottom w:w="75" w:type="dxa"/>
          <w:right w:w="75" w:type="dxa"/>
        </w:tblCellMar>
      </w:tblPr>
      <w:tblGrid>
        <w:gridCol w:w="1454"/>
        <w:gridCol w:w="1665"/>
        <w:gridCol w:w="2363"/>
        <w:gridCol w:w="1701"/>
        <w:gridCol w:w="113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02" w:hRule="atLeast"/>
          <w:jc w:val="center"/>
        </w:trPr>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期数</w:t>
            </w:r>
          </w:p>
        </w:tc>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报到时间</w:t>
            </w:r>
          </w:p>
        </w:tc>
        <w:tc>
          <w:tcPr>
            <w:tcW w:w="23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培训时间</w:t>
            </w:r>
          </w:p>
        </w:tc>
        <w:tc>
          <w:tcPr>
            <w:tcW w:w="170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返程时间</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地点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193" w:hRule="atLeast"/>
          <w:jc w:val="center"/>
        </w:trPr>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总第96期</w:t>
            </w:r>
          </w:p>
        </w:tc>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4月14日</w:t>
            </w:r>
          </w:p>
        </w:tc>
        <w:tc>
          <w:tcPr>
            <w:tcW w:w="23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4月15日-17日</w:t>
            </w:r>
          </w:p>
        </w:tc>
        <w:tc>
          <w:tcPr>
            <w:tcW w:w="170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4月18日</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北京</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02" w:hRule="atLeast"/>
          <w:jc w:val="center"/>
        </w:trPr>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总第97期</w:t>
            </w:r>
          </w:p>
        </w:tc>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6月23日</w:t>
            </w:r>
          </w:p>
        </w:tc>
        <w:tc>
          <w:tcPr>
            <w:tcW w:w="23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6月24日-26日</w:t>
            </w:r>
          </w:p>
        </w:tc>
        <w:tc>
          <w:tcPr>
            <w:tcW w:w="170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6月27日</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青岛</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02" w:hRule="atLeast"/>
          <w:jc w:val="center"/>
        </w:trPr>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总第98期</w:t>
            </w:r>
          </w:p>
        </w:tc>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8月6日</w:t>
            </w:r>
          </w:p>
        </w:tc>
        <w:tc>
          <w:tcPr>
            <w:tcW w:w="23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8月7日-9日</w:t>
            </w:r>
          </w:p>
        </w:tc>
        <w:tc>
          <w:tcPr>
            <w:tcW w:w="170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8月10日</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贵阳</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75" w:type="dxa"/>
            <w:left w:w="75" w:type="dxa"/>
            <w:bottom w:w="75" w:type="dxa"/>
            <w:right w:w="75" w:type="dxa"/>
          </w:tblCellMar>
        </w:tblPrEx>
        <w:trPr>
          <w:trHeight w:val="202" w:hRule="atLeast"/>
          <w:jc w:val="center"/>
        </w:trPr>
        <w:tc>
          <w:tcPr>
            <w:tcW w:w="145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总第99期</w:t>
            </w:r>
          </w:p>
        </w:tc>
        <w:tc>
          <w:tcPr>
            <w:tcW w:w="1665"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10月13日</w:t>
            </w:r>
          </w:p>
        </w:tc>
        <w:tc>
          <w:tcPr>
            <w:tcW w:w="2363"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10月14日-16日</w:t>
            </w:r>
          </w:p>
        </w:tc>
        <w:tc>
          <w:tcPr>
            <w:tcW w:w="1701"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10月17日</w:t>
            </w:r>
          </w:p>
        </w:tc>
        <w:tc>
          <w:tcPr>
            <w:tcW w:w="1134" w:type="dxa"/>
            <w:tcBorders>
              <w:top w:val="single" w:color="000000" w:sz="6" w:space="0"/>
              <w:left w:val="single" w:color="000000" w:sz="6" w:space="0"/>
              <w:bottom w:val="single" w:color="000000" w:sz="6" w:space="0"/>
              <w:right w:val="single" w:color="000000" w:sz="6" w:space="0"/>
            </w:tcBorders>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重庆</w:t>
            </w:r>
          </w:p>
        </w:tc>
      </w:tr>
    </w:tbl>
    <w:p>
      <w:pPr>
        <w:pStyle w:val="2"/>
        <w:keepNext w:val="0"/>
        <w:keepLines w:val="0"/>
        <w:spacing w:before="0" w:after="0" w:line="360" w:lineRule="auto"/>
        <w:rPr>
          <w:rFonts w:ascii="仿宋" w:hAnsi="仿宋" w:eastAsia="仿宋" w:cs="华文仿宋"/>
          <w:kern w:val="0"/>
          <w:sz w:val="28"/>
          <w:szCs w:val="28"/>
        </w:rPr>
      </w:pPr>
      <w:r>
        <w:rPr>
          <w:rFonts w:hint="eastAsia" w:ascii="仿宋" w:hAnsi="仿宋" w:eastAsia="仿宋" w:cs="华文仿宋"/>
          <w:kern w:val="0"/>
          <w:sz w:val="28"/>
          <w:szCs w:val="28"/>
        </w:rPr>
        <w:t>七、结业及考核</w:t>
      </w:r>
    </w:p>
    <w:p>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560" w:firstLineChars="200"/>
        <w:jc w:val="both"/>
        <w:rPr>
          <w:rFonts w:hint="default" w:ascii="仿宋" w:hAnsi="仿宋" w:eastAsia="仿宋" w:cs="华文仿宋"/>
          <w:b/>
          <w:bCs/>
          <w:sz w:val="28"/>
          <w:szCs w:val="28"/>
        </w:rPr>
      </w:pPr>
      <w:r>
        <w:rPr>
          <w:rFonts w:ascii="仿宋" w:hAnsi="仿宋" w:eastAsia="仿宋" w:cs="华文仿宋"/>
          <w:sz w:val="28"/>
          <w:szCs w:val="28"/>
          <w:lang w:val="en-US"/>
        </w:rPr>
        <w:t>完成学习可获得</w:t>
      </w:r>
      <w:r>
        <w:rPr>
          <w:rFonts w:ascii="仿宋" w:hAnsi="仿宋" w:eastAsia="仿宋" w:cs="华文仿宋"/>
          <w:sz w:val="28"/>
          <w:szCs w:val="28"/>
        </w:rPr>
        <w:t>北京国家会计学院</w:t>
      </w:r>
      <w:r>
        <w:rPr>
          <w:rFonts w:ascii="仿宋" w:hAnsi="仿宋" w:eastAsia="仿宋" w:cs="华文仿宋"/>
          <w:sz w:val="28"/>
          <w:szCs w:val="28"/>
          <w:lang w:val="en-US"/>
        </w:rPr>
        <w:t>颁发的电子版</w:t>
      </w:r>
      <w:r>
        <w:rPr>
          <w:rFonts w:ascii="仿宋" w:hAnsi="仿宋" w:eastAsia="仿宋" w:cs="华文仿宋"/>
          <w:sz w:val="28"/>
          <w:szCs w:val="28"/>
        </w:rPr>
        <w:t>结业证书。</w:t>
      </w:r>
    </w:p>
    <w:p>
      <w:pPr>
        <w:pStyle w:val="2"/>
        <w:keepNext w:val="0"/>
        <w:keepLines w:val="0"/>
        <w:spacing w:before="0" w:after="0" w:line="360" w:lineRule="auto"/>
        <w:rPr>
          <w:rFonts w:ascii="仿宋" w:hAnsi="仿宋" w:eastAsia="仿宋" w:cs="华文仿宋"/>
          <w:kern w:val="0"/>
          <w:sz w:val="28"/>
          <w:szCs w:val="28"/>
        </w:rPr>
      </w:pPr>
      <w:r>
        <w:rPr>
          <w:rFonts w:hint="eastAsia" w:ascii="仿宋" w:hAnsi="仿宋" w:eastAsia="仿宋" w:cs="华文仿宋"/>
          <w:kern w:val="0"/>
          <w:sz w:val="28"/>
          <w:szCs w:val="28"/>
        </w:rPr>
        <w:t>九、收费标准和</w:t>
      </w:r>
      <w:r>
        <w:rPr>
          <w:rFonts w:ascii="仿宋" w:hAnsi="仿宋" w:eastAsia="仿宋" w:cs="华文仿宋"/>
          <w:kern w:val="0"/>
          <w:sz w:val="28"/>
          <w:szCs w:val="28"/>
        </w:rPr>
        <w:t>缴费方式</w:t>
      </w:r>
    </w:p>
    <w:p>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560" w:firstLineChars="200"/>
        <w:jc w:val="both"/>
        <w:rPr>
          <w:rFonts w:hint="default" w:ascii="仿宋" w:hAnsi="仿宋" w:eastAsia="仿宋" w:cs="华文仿宋"/>
          <w:sz w:val="28"/>
          <w:szCs w:val="28"/>
          <w:lang w:val="en-US"/>
        </w:rPr>
      </w:pPr>
      <w:r>
        <w:rPr>
          <w:rFonts w:ascii="仿宋" w:hAnsi="仿宋" w:eastAsia="仿宋" w:cs="华文仿宋"/>
          <w:sz w:val="28"/>
          <w:szCs w:val="28"/>
          <w:lang w:val="en-US"/>
        </w:rPr>
        <w:t>1.</w:t>
      </w:r>
      <w:r>
        <w:rPr>
          <w:rFonts w:ascii="仿宋" w:hAnsi="仿宋" w:eastAsia="仿宋" w:cs="华文仿宋"/>
          <w:sz w:val="28"/>
          <w:szCs w:val="28"/>
        </w:rPr>
        <w:t>培训费：</w:t>
      </w:r>
      <w:r>
        <w:rPr>
          <w:rFonts w:ascii="仿宋" w:hAnsi="仿宋" w:eastAsia="仿宋" w:cs="华文仿宋"/>
          <w:sz w:val="28"/>
          <w:szCs w:val="28"/>
          <w:lang w:val="en-US"/>
        </w:rPr>
        <w:t xml:space="preserve"> 5</w:t>
      </w:r>
      <w:r>
        <w:rPr>
          <w:rFonts w:hint="default" w:ascii="仿宋" w:hAnsi="仿宋" w:eastAsia="仿宋" w:cs="华文仿宋"/>
          <w:sz w:val="28"/>
          <w:szCs w:val="28"/>
          <w:lang w:val="en-US"/>
        </w:rPr>
        <w:t>80</w:t>
      </w:r>
      <w:r>
        <w:rPr>
          <w:rFonts w:ascii="仿宋" w:hAnsi="仿宋" w:eastAsia="仿宋" w:cs="华文仿宋"/>
          <w:sz w:val="28"/>
          <w:szCs w:val="28"/>
          <w:lang w:val="en-US"/>
        </w:rPr>
        <w:t>0</w:t>
      </w:r>
      <w:r>
        <w:rPr>
          <w:rFonts w:ascii="仿宋" w:hAnsi="仿宋" w:eastAsia="仿宋" w:cs="华文仿宋"/>
          <w:sz w:val="28"/>
          <w:szCs w:val="28"/>
        </w:rPr>
        <w:t>元/人</w:t>
      </w:r>
      <w:r>
        <w:rPr>
          <w:rFonts w:ascii="仿宋" w:hAnsi="仿宋" w:eastAsia="仿宋" w:cs="华文仿宋"/>
          <w:sz w:val="28"/>
          <w:szCs w:val="28"/>
          <w:lang w:val="en-US"/>
        </w:rPr>
        <w:t>（不含食宿）。</w:t>
      </w:r>
    </w:p>
    <w:p>
      <w:pPr>
        <w:pStyle w:val="1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560" w:firstLineChars="200"/>
        <w:jc w:val="both"/>
        <w:rPr>
          <w:rFonts w:hint="default" w:ascii="仿宋" w:hAnsi="仿宋" w:eastAsia="仿宋" w:cs="华文仿宋"/>
          <w:sz w:val="28"/>
          <w:szCs w:val="28"/>
          <w:lang w:val="en-US"/>
        </w:rPr>
      </w:pPr>
      <w:r>
        <w:rPr>
          <w:rFonts w:ascii="仿宋" w:hAnsi="仿宋" w:eastAsia="仿宋" w:cs="华文仿宋"/>
          <w:sz w:val="28"/>
          <w:szCs w:val="28"/>
          <w:lang w:val="en-US"/>
        </w:rPr>
        <w:t>2.在北京国家会计学院举办的培训可提供食宿。就餐为自助餐，收费标准为120元/人天。住宿条件为单人标准间，收费标准普通间340元/人天，商务间550元/人天，新商务间650元/人天（住宿费用含游泳、健身、净娱乐、宽带上网等费用），在京外举办的培训由当地酒店提供食宿，统一安排，费用自理。</w:t>
      </w:r>
    </w:p>
    <w:p>
      <w:pPr>
        <w:ind w:firstLine="560" w:firstLineChars="200"/>
        <w:rPr>
          <w:rFonts w:ascii="仿宋" w:hAnsi="仿宋" w:eastAsia="仿宋"/>
          <w:sz w:val="28"/>
          <w:szCs w:val="28"/>
        </w:rPr>
      </w:pPr>
      <w:r>
        <w:rPr>
          <w:rFonts w:ascii="仿宋" w:hAnsi="仿宋" w:eastAsia="仿宋"/>
          <w:sz w:val="28"/>
          <w:szCs w:val="28"/>
        </w:rPr>
        <w:t>3.缴费方式：</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1）报到时现场刷卡或</w:t>
      </w:r>
      <w:r>
        <w:rPr>
          <w:rFonts w:hint="eastAsia" w:ascii="仿宋" w:hAnsi="仿宋" w:eastAsia="仿宋"/>
          <w:sz w:val="28"/>
          <w:szCs w:val="28"/>
        </w:rPr>
        <w:t>微信扫码支付</w:t>
      </w:r>
      <w:r>
        <w:rPr>
          <w:rFonts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2）银行汇款（培训费可汇款，食宿费需当场缴纳现金）：</w:t>
      </w:r>
    </w:p>
    <w:p>
      <w:pPr>
        <w:ind w:firstLine="1400" w:firstLineChars="500"/>
        <w:rPr>
          <w:rFonts w:ascii="仿宋" w:hAnsi="仿宋" w:eastAsia="仿宋"/>
          <w:sz w:val="28"/>
          <w:szCs w:val="28"/>
        </w:rPr>
      </w:pPr>
      <w:r>
        <w:rPr>
          <w:rFonts w:hint="eastAsia" w:ascii="仿宋" w:hAnsi="仿宋" w:eastAsia="仿宋"/>
          <w:sz w:val="28"/>
          <w:szCs w:val="28"/>
        </w:rPr>
        <w:t>单位名称：北京国家会计学院</w:t>
      </w:r>
    </w:p>
    <w:p>
      <w:pPr>
        <w:ind w:firstLine="1400" w:firstLineChars="500"/>
        <w:rPr>
          <w:rFonts w:ascii="仿宋" w:hAnsi="仿宋" w:eastAsia="仿宋"/>
          <w:sz w:val="28"/>
          <w:szCs w:val="28"/>
        </w:rPr>
      </w:pPr>
      <w:r>
        <w:rPr>
          <w:rFonts w:hint="eastAsia" w:ascii="仿宋" w:hAnsi="仿宋" w:eastAsia="仿宋"/>
          <w:sz w:val="28"/>
          <w:szCs w:val="28"/>
        </w:rPr>
        <w:t>开户行：中国建设银行北京天竺支行（</w:t>
      </w:r>
      <w:r>
        <w:rPr>
          <w:rFonts w:ascii="仿宋" w:hAnsi="仿宋" w:eastAsia="仿宋"/>
          <w:sz w:val="28"/>
          <w:szCs w:val="28"/>
        </w:rPr>
        <w:t>201）</w:t>
      </w:r>
    </w:p>
    <w:p>
      <w:pPr>
        <w:ind w:firstLine="1400" w:firstLineChars="500"/>
        <w:rPr>
          <w:rFonts w:ascii="仿宋" w:hAnsi="仿宋" w:eastAsia="仿宋"/>
          <w:sz w:val="28"/>
          <w:szCs w:val="28"/>
        </w:rPr>
      </w:pPr>
      <w:r>
        <w:rPr>
          <w:rFonts w:hint="eastAsia" w:ascii="仿宋" w:hAnsi="仿宋" w:eastAsia="仿宋"/>
          <w:sz w:val="28"/>
          <w:szCs w:val="28"/>
        </w:rPr>
        <w:t>账号：</w:t>
      </w:r>
      <w:r>
        <w:rPr>
          <w:rFonts w:ascii="仿宋" w:hAnsi="仿宋" w:eastAsia="仿宋"/>
          <w:sz w:val="28"/>
          <w:szCs w:val="28"/>
        </w:rPr>
        <w:t>1100 1020 1000 5603 0985</w:t>
      </w:r>
    </w:p>
    <w:p>
      <w:pPr>
        <w:pStyle w:va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560" w:firstLineChars="200"/>
        <w:jc w:val="both"/>
        <w:rPr>
          <w:rFonts w:hint="default" w:ascii="仿宋" w:hAnsi="仿宋" w:eastAsia="仿宋" w:cs="华文仿宋"/>
          <w:sz w:val="28"/>
          <w:szCs w:val="28"/>
        </w:rPr>
      </w:pPr>
    </w:p>
    <w:p>
      <w:pPr>
        <w:pStyle w:val="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spacing w:before="0" w:line="360" w:lineRule="auto"/>
        <w:ind w:firstLine="560" w:firstLineChars="200"/>
        <w:jc w:val="both"/>
        <w:rPr>
          <w:rFonts w:hint="default" w:ascii="仿宋" w:hAnsi="仿宋" w:eastAsia="仿宋" w:cs="华文仿宋"/>
          <w:sz w:val="28"/>
          <w:szCs w:val="28"/>
        </w:rPr>
      </w:pPr>
    </w:p>
    <w:p>
      <w:pPr>
        <w:ind w:firstLine="560" w:firstLineChars="200"/>
        <w:jc w:val="right"/>
        <w:rPr>
          <w:rFonts w:ascii="仿宋" w:hAnsi="仿宋" w:eastAsia="仿宋"/>
          <w:sz w:val="28"/>
          <w:szCs w:val="28"/>
        </w:rPr>
      </w:pPr>
      <w:r>
        <w:rPr>
          <w:rFonts w:hint="eastAsia" w:ascii="仿宋" w:hAnsi="仿宋" w:eastAsia="仿宋"/>
          <w:sz w:val="28"/>
          <w:szCs w:val="28"/>
        </w:rPr>
        <w:t>北京国家会计学院教务部</w:t>
      </w:r>
    </w:p>
    <w:p>
      <w:pPr>
        <w:wordWrap w:val="0"/>
        <w:ind w:firstLine="560" w:firstLineChars="200"/>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3</w:t>
      </w:r>
      <w:r>
        <w:rPr>
          <w:rFonts w:hint="eastAsia" w:ascii="仿宋" w:hAnsi="仿宋" w:eastAsia="仿宋"/>
          <w:sz w:val="28"/>
          <w:szCs w:val="28"/>
        </w:rPr>
        <w:t>年</w:t>
      </w:r>
      <w:r>
        <w:rPr>
          <w:rFonts w:hint="eastAsia" w:ascii="仿宋" w:hAnsi="仿宋" w:eastAsia="仿宋"/>
          <w:sz w:val="28"/>
          <w:szCs w:val="28"/>
          <w:lang w:val="en-US" w:eastAsia="zh-CN"/>
        </w:rPr>
        <w:t>12</w:t>
      </w:r>
      <w:bookmarkStart w:id="0" w:name="_GoBack"/>
      <w:bookmarkEnd w:id="0"/>
      <w:r>
        <w:rPr>
          <w:rFonts w:hint="eastAsia" w:ascii="仿宋" w:hAnsi="仿宋" w:eastAsia="仿宋"/>
          <w:sz w:val="28"/>
          <w:szCs w:val="28"/>
        </w:rPr>
        <w:t xml:space="preserve">月    </w:t>
      </w:r>
    </w:p>
    <w:p/>
    <w:p/>
    <w:p/>
    <w:p>
      <w:pPr>
        <w:spacing w:line="440" w:lineRule="exact"/>
        <w:jc w:val="center"/>
        <w:rPr>
          <w:rFonts w:ascii="仿宋" w:hAnsi="仿宋" w:eastAsia="仿宋" w:cs="宋体"/>
          <w:b/>
          <w:bCs/>
          <w:kern w:val="0"/>
          <w:sz w:val="30"/>
          <w:szCs w:val="30"/>
        </w:rPr>
      </w:pPr>
      <w:r>
        <w:rPr>
          <w:rFonts w:hint="eastAsia" w:ascii="仿宋" w:hAnsi="仿宋" w:eastAsia="仿宋" w:cs="宋体"/>
          <w:b/>
          <w:bCs/>
          <w:kern w:val="0"/>
          <w:sz w:val="30"/>
          <w:szCs w:val="30"/>
        </w:rPr>
        <w:t>2024年“新形势下企业内部审计高质量发展实践”报名回执表</w:t>
      </w:r>
    </w:p>
    <w:tbl>
      <w:tblPr>
        <w:tblStyle w:val="6"/>
        <w:tblpPr w:leftFromText="180" w:rightFromText="180" w:vertAnchor="text" w:horzAnchor="page" w:tblpX="1455" w:tblpY="156"/>
        <w:tblOverlap w:val="never"/>
        <w:tblW w:w="9302"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0" w:type="dxa"/>
          <w:bottom w:w="0" w:type="dxa"/>
          <w:right w:w="0" w:type="dxa"/>
        </w:tblCellMar>
      </w:tblPr>
      <w:tblGrid>
        <w:gridCol w:w="1135"/>
        <w:gridCol w:w="555"/>
        <w:gridCol w:w="630"/>
        <w:gridCol w:w="855"/>
        <w:gridCol w:w="1315"/>
        <w:gridCol w:w="580"/>
        <w:gridCol w:w="1785"/>
        <w:gridCol w:w="75"/>
        <w:gridCol w:w="2372"/>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58"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before="156" w:after="156"/>
              <w:rPr>
                <w:rFonts w:ascii="仿宋" w:hAnsi="仿宋" w:eastAsia="仿宋"/>
                <w:color w:val="58595B"/>
                <w:szCs w:val="21"/>
              </w:rPr>
            </w:pPr>
            <w:r>
              <w:rPr>
                <w:rFonts w:hint="eastAsia" w:ascii="仿宋" w:hAnsi="仿宋" w:eastAsia="仿宋"/>
                <w:b/>
                <w:color w:val="000000"/>
                <w:szCs w:val="21"/>
              </w:rPr>
              <w:t>单位名称</w:t>
            </w:r>
          </w:p>
        </w:tc>
        <w:tc>
          <w:tcPr>
            <w:tcW w:w="3935"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Cs w:val="21"/>
              </w:rPr>
            </w:pPr>
            <w:r>
              <w:rPr>
                <w:rFonts w:ascii="仿宋" w:hAnsi="仿宋" w:eastAsia="仿宋"/>
                <w:b/>
                <w:color w:val="000000"/>
                <w:szCs w:val="21"/>
              </w:rPr>
              <w:t xml:space="preserve"> </w:t>
            </w:r>
          </w:p>
        </w:tc>
        <w:tc>
          <w:tcPr>
            <w:tcW w:w="178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Cs w:val="21"/>
              </w:rPr>
            </w:pPr>
            <w:r>
              <w:rPr>
                <w:rFonts w:hint="eastAsia" w:ascii="仿宋" w:hAnsi="仿宋" w:eastAsia="仿宋"/>
                <w:b/>
                <w:color w:val="000000"/>
                <w:szCs w:val="21"/>
              </w:rPr>
              <w:t>传真号码</w:t>
            </w:r>
          </w:p>
        </w:tc>
        <w:tc>
          <w:tcPr>
            <w:tcW w:w="2447"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jc w:val="center"/>
              <w:rPr>
                <w:rFonts w:ascii="仿宋" w:hAnsi="仿宋" w:eastAsia="仿宋"/>
                <w:color w:val="58595B"/>
                <w:szCs w:val="21"/>
              </w:rPr>
            </w:pPr>
            <w:r>
              <w:rPr>
                <w:rFonts w:ascii="仿宋" w:hAnsi="仿宋" w:eastAsia="仿宋"/>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80"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color w:val="58595B"/>
                <w:szCs w:val="21"/>
              </w:rPr>
            </w:pPr>
            <w:r>
              <w:rPr>
                <w:rFonts w:ascii="仿宋" w:hAnsi="仿宋" w:eastAsia="仿宋"/>
                <w:b/>
                <w:color w:val="000000"/>
                <w:szCs w:val="21"/>
              </w:rPr>
              <w:t>联系人</w:t>
            </w:r>
          </w:p>
        </w:tc>
        <w:tc>
          <w:tcPr>
            <w:tcW w:w="118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Cs w:val="21"/>
              </w:rPr>
            </w:pPr>
            <w:r>
              <w:rPr>
                <w:rFonts w:ascii="仿宋" w:hAnsi="仿宋" w:eastAsia="仿宋"/>
                <w:b/>
                <w:color w:val="000000"/>
                <w:spacing w:val="-26"/>
                <w:szCs w:val="21"/>
              </w:rPr>
              <w:t xml:space="preserve"> </w:t>
            </w:r>
          </w:p>
        </w:tc>
        <w:tc>
          <w:tcPr>
            <w:tcW w:w="2750"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Cs w:val="21"/>
              </w:rPr>
            </w:pPr>
            <w:r>
              <w:rPr>
                <w:rFonts w:ascii="仿宋" w:hAnsi="仿宋" w:eastAsia="仿宋"/>
                <w:b/>
                <w:color w:val="000000"/>
                <w:szCs w:val="21"/>
              </w:rPr>
              <w:t>联系方式</w:t>
            </w:r>
          </w:p>
        </w:tc>
        <w:tc>
          <w:tcPr>
            <w:tcW w:w="4232"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58595B"/>
                <w:szCs w:val="21"/>
              </w:rPr>
            </w:pPr>
            <w:r>
              <w:rPr>
                <w:rFonts w:ascii="仿宋" w:hAnsi="仿宋" w:eastAsia="仿宋"/>
                <w:b/>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616"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rPr>
                <w:rFonts w:ascii="仿宋" w:hAnsi="仿宋" w:eastAsia="仿宋"/>
                <w:b/>
                <w:color w:val="000000"/>
                <w:szCs w:val="21"/>
              </w:rPr>
            </w:pPr>
            <w:r>
              <w:rPr>
                <w:rFonts w:hint="eastAsia" w:ascii="仿宋" w:hAnsi="仿宋" w:eastAsia="仿宋"/>
                <w:b/>
                <w:color w:val="000000"/>
                <w:szCs w:val="21"/>
              </w:rPr>
              <w:t>学员姓名</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r>
              <w:rPr>
                <w:rFonts w:ascii="仿宋" w:hAnsi="仿宋" w:eastAsia="仿宋"/>
                <w:b/>
                <w:color w:val="000000"/>
                <w:spacing w:val="-26"/>
                <w:szCs w:val="21"/>
              </w:rPr>
              <w:t>性别</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r>
              <w:rPr>
                <w:rFonts w:ascii="仿宋" w:hAnsi="仿宋" w:eastAsia="仿宋"/>
                <w:b/>
                <w:color w:val="000000"/>
                <w:spacing w:val="-26"/>
                <w:szCs w:val="21"/>
              </w:rPr>
              <w:t>部门</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r>
              <w:rPr>
                <w:rFonts w:ascii="仿宋" w:hAnsi="仿宋" w:eastAsia="仿宋"/>
                <w:b/>
                <w:color w:val="000000"/>
                <w:szCs w:val="21"/>
              </w:rPr>
              <w:t xml:space="preserve">职务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r>
              <w:rPr>
                <w:rFonts w:ascii="仿宋" w:hAnsi="仿宋" w:eastAsia="仿宋"/>
                <w:b/>
                <w:color w:val="000000"/>
                <w:szCs w:val="21"/>
              </w:rPr>
              <w:t xml:space="preserve">联系电话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r>
              <w:rPr>
                <w:rFonts w:ascii="仿宋" w:hAnsi="仿宋" w:eastAsia="仿宋"/>
                <w:b/>
                <w:color w:val="000000"/>
                <w:szCs w:val="21"/>
              </w:rPr>
              <w:t>手机号码</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b/>
                <w:color w:val="000000"/>
                <w:szCs w:val="21"/>
              </w:rPr>
            </w:pPr>
            <w:r>
              <w:rPr>
                <w:rFonts w:ascii="仿宋" w:hAnsi="仿宋" w:eastAsia="仿宋"/>
                <w:b/>
                <w:color w:val="000000"/>
                <w:szCs w:val="21"/>
              </w:rPr>
              <w:t>电子邮箱</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color w:val="58595B"/>
                <w:szCs w:val="21"/>
              </w:rPr>
            </w:pPr>
            <w:r>
              <w:rPr>
                <w:rFonts w:ascii="仿宋" w:hAnsi="仿宋" w:eastAsia="仿宋"/>
                <w:b/>
                <w:color w:val="000000"/>
                <w:szCs w:val="21"/>
              </w:rPr>
              <w:t xml:space="preserve"> </w:t>
            </w: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58595B"/>
                <w:szCs w:val="21"/>
              </w:rPr>
            </w:pPr>
            <w:r>
              <w:rPr>
                <w:rFonts w:ascii="仿宋" w:hAnsi="仿宋" w:eastAsia="仿宋"/>
                <w:b/>
                <w:color w:val="000000"/>
                <w:spacing w:val="-26"/>
                <w:szCs w:val="21"/>
              </w:rPr>
              <w:t xml:space="preserve"> </w:t>
            </w: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color w:val="58595B"/>
                <w:szCs w:val="21"/>
              </w:rPr>
            </w:pPr>
            <w:r>
              <w:rPr>
                <w:rFonts w:ascii="仿宋" w:hAnsi="仿宋" w:eastAsia="仿宋"/>
                <w:b/>
                <w:color w:val="000000"/>
                <w:spacing w:val="-26"/>
                <w:szCs w:val="21"/>
              </w:rPr>
              <w:t xml:space="preserve"> </w:t>
            </w: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Cs w:val="21"/>
              </w:rPr>
            </w:pPr>
            <w:r>
              <w:rPr>
                <w:rFonts w:ascii="仿宋" w:hAnsi="仿宋" w:eastAsia="仿宋"/>
                <w:b/>
                <w:color w:val="000000"/>
                <w:szCs w:val="21"/>
              </w:rPr>
              <w:t xml:space="preserve"> </w:t>
            </w: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Cs w:val="21"/>
              </w:rPr>
            </w:pPr>
            <w:r>
              <w:rPr>
                <w:rFonts w:ascii="仿宋" w:hAnsi="仿宋" w:eastAsia="仿宋"/>
                <w:b/>
                <w:color w:val="000000"/>
                <w:szCs w:val="21"/>
              </w:rPr>
              <w:t xml:space="preserve"> </w:t>
            </w: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color w:val="58595B"/>
                <w:szCs w:val="21"/>
              </w:rPr>
            </w:pPr>
            <w:r>
              <w:rPr>
                <w:rFonts w:ascii="仿宋" w:hAnsi="仿宋" w:eastAsia="仿宋"/>
                <w:b/>
                <w:color w:val="000000"/>
                <w:szCs w:val="21"/>
              </w:rPr>
              <w:t xml:space="preserve"> </w:t>
            </w: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58595B"/>
                <w:szCs w:val="21"/>
              </w:rPr>
            </w:pPr>
            <w:r>
              <w:rPr>
                <w:rFonts w:ascii="仿宋" w:hAnsi="仿宋" w:eastAsia="仿宋"/>
                <w:color w:val="000000"/>
                <w:szCs w:val="21"/>
              </w:rPr>
              <w:t xml:space="preserve"> </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p>
        </w:tc>
        <w:tc>
          <w:tcPr>
            <w:tcW w:w="5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63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rPr>
                <w:rFonts w:ascii="仿宋" w:hAnsi="仿宋" w:eastAsia="仿宋"/>
                <w:b/>
                <w:color w:val="000000"/>
                <w:spacing w:val="-26"/>
                <w:szCs w:val="21"/>
              </w:rPr>
            </w:pPr>
          </w:p>
        </w:tc>
        <w:tc>
          <w:tcPr>
            <w:tcW w:w="85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95"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1860"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jc w:val="center"/>
              <w:rPr>
                <w:rFonts w:ascii="仿宋" w:hAnsi="仿宋" w:eastAsia="仿宋"/>
                <w:b/>
                <w:color w:val="000000"/>
                <w:szCs w:val="21"/>
              </w:rPr>
            </w:pPr>
          </w:p>
        </w:tc>
        <w:tc>
          <w:tcPr>
            <w:tcW w:w="237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color w:val="000000"/>
                <w:szCs w:val="21"/>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501" w:hRule="atLeast"/>
        </w:trPr>
        <w:tc>
          <w:tcPr>
            <w:tcW w:w="11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spacing w:before="156" w:after="156"/>
              <w:jc w:val="center"/>
              <w:rPr>
                <w:rFonts w:ascii="仿宋" w:hAnsi="仿宋" w:eastAsia="仿宋"/>
                <w:b/>
                <w:color w:val="000000"/>
                <w:szCs w:val="21"/>
              </w:rPr>
            </w:pPr>
            <w:r>
              <w:rPr>
                <w:rFonts w:hint="eastAsia" w:ascii="仿宋" w:hAnsi="仿宋" w:eastAsia="仿宋"/>
                <w:b/>
                <w:color w:val="000000"/>
                <w:szCs w:val="21"/>
              </w:rPr>
              <w:t>课程选择</w:t>
            </w:r>
          </w:p>
        </w:tc>
        <w:tc>
          <w:tcPr>
            <w:tcW w:w="8167" w:type="dxa"/>
            <w:gridSpan w:val="8"/>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360"/>
                <w:tab w:val="left" w:pos="540"/>
              </w:tabs>
              <w:autoSpaceDN w:val="0"/>
              <w:ind w:left="27"/>
              <w:jc w:val="center"/>
              <w:rPr>
                <w:rFonts w:ascii="仿宋" w:hAnsi="仿宋" w:eastAsia="仿宋"/>
                <w:b/>
                <w:color w:val="000000"/>
                <w:szCs w:val="21"/>
              </w:rPr>
            </w:pPr>
            <w:r>
              <w:rPr>
                <w:rFonts w:hint="eastAsia" w:ascii="仿宋" w:hAnsi="仿宋" w:eastAsia="仿宋"/>
              </w:rPr>
              <w:t>开班时间：</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月；期数：第</w:t>
            </w:r>
            <w:r>
              <w:rPr>
                <w:rFonts w:hint="eastAsia" w:ascii="仿宋" w:hAnsi="仿宋" w:eastAsia="仿宋"/>
                <w:u w:val="single"/>
              </w:rPr>
              <w:t xml:space="preserve"> </w:t>
            </w:r>
            <w:r>
              <w:rPr>
                <w:rFonts w:ascii="仿宋" w:hAnsi="仿宋" w:eastAsia="仿宋"/>
                <w:u w:val="single"/>
              </w:rPr>
              <w:t xml:space="preserve">      </w:t>
            </w:r>
            <w:r>
              <w:rPr>
                <w:rFonts w:hint="eastAsia" w:ascii="仿宋" w:hAnsi="仿宋" w:eastAsia="仿宋"/>
              </w:rPr>
              <w:t>期（请在横线中填写）</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665" w:hRule="atLeast"/>
        </w:trPr>
        <w:tc>
          <w:tcPr>
            <w:tcW w:w="4490" w:type="dxa"/>
            <w:gridSpan w:val="5"/>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b/>
                <w:kern w:val="0"/>
              </w:rPr>
            </w:pPr>
            <w:r>
              <w:rPr>
                <w:rFonts w:hint="eastAsia" w:ascii="仿宋" w:hAnsi="仿宋" w:eastAsia="仿宋"/>
                <w:b/>
                <w:kern w:val="0"/>
              </w:rPr>
              <w:t>报名程序：</w:t>
            </w:r>
          </w:p>
          <w:p>
            <w:pPr>
              <w:ind w:firstLine="420" w:firstLineChars="200"/>
              <w:rPr>
                <w:rFonts w:ascii="仿宋" w:hAnsi="仿宋" w:eastAsia="仿宋"/>
                <w:kern w:val="0"/>
              </w:rPr>
            </w:pPr>
            <w:r>
              <w:rPr>
                <w:rFonts w:hint="eastAsia" w:ascii="仿宋" w:hAnsi="仿宋" w:eastAsia="仿宋"/>
                <w:kern w:val="0"/>
              </w:rPr>
              <w:t>请将报名回执表填写完整后发邮件至招生联系人，培训费报名后可电汇至北京国家会计学院或报到时交纳（可刷卡，发票报到时领取）,食宿费现场交纳。</w:t>
            </w:r>
          </w:p>
        </w:tc>
        <w:tc>
          <w:tcPr>
            <w:tcW w:w="4812"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rPr>
                <w:rFonts w:ascii="仿宋" w:hAnsi="仿宋" w:eastAsia="仿宋"/>
                <w:b/>
                <w:kern w:val="0"/>
              </w:rPr>
            </w:pPr>
          </w:p>
          <w:p>
            <w:pPr>
              <w:rPr>
                <w:rFonts w:ascii="仿宋" w:hAnsi="仿宋" w:eastAsia="仿宋"/>
                <w:b/>
                <w:kern w:val="0"/>
              </w:rPr>
            </w:pPr>
            <w:r>
              <w:rPr>
                <w:rFonts w:hint="eastAsia" w:ascii="仿宋" w:hAnsi="仿宋" w:eastAsia="仿宋"/>
                <w:b/>
                <w:kern w:val="0"/>
              </w:rPr>
              <w:t>请将培训费汇至以下账户：</w:t>
            </w:r>
            <w:r>
              <w:rPr>
                <w:rFonts w:ascii="仿宋" w:hAnsi="仿宋" w:eastAsia="仿宋"/>
                <w:b/>
                <w:kern w:val="0"/>
              </w:rPr>
              <w:t xml:space="preserve"> </w:t>
            </w:r>
          </w:p>
          <w:p>
            <w:pPr>
              <w:rPr>
                <w:rFonts w:ascii="仿宋" w:hAnsi="仿宋" w:eastAsia="仿宋"/>
                <w:kern w:val="0"/>
              </w:rPr>
            </w:pPr>
            <w:r>
              <w:rPr>
                <w:rFonts w:hint="eastAsia" w:ascii="仿宋" w:hAnsi="仿宋" w:eastAsia="仿宋"/>
                <w:kern w:val="0"/>
              </w:rPr>
              <w:t>单位名称：北京国家会计学院</w:t>
            </w:r>
          </w:p>
          <w:p>
            <w:pPr>
              <w:rPr>
                <w:rFonts w:ascii="仿宋" w:hAnsi="仿宋" w:eastAsia="仿宋"/>
                <w:kern w:val="0"/>
              </w:rPr>
            </w:pPr>
            <w:r>
              <w:rPr>
                <w:rFonts w:hint="eastAsia" w:ascii="仿宋" w:hAnsi="仿宋" w:eastAsia="仿宋"/>
                <w:kern w:val="0"/>
              </w:rPr>
              <w:t>开户行：中国建设银行北京天竺支行（</w:t>
            </w:r>
            <w:r>
              <w:rPr>
                <w:rFonts w:ascii="仿宋" w:hAnsi="仿宋" w:eastAsia="仿宋"/>
                <w:kern w:val="0"/>
              </w:rPr>
              <w:t>201</w:t>
            </w:r>
            <w:r>
              <w:rPr>
                <w:rFonts w:hint="eastAsia" w:ascii="仿宋" w:hAnsi="仿宋" w:eastAsia="仿宋"/>
                <w:kern w:val="0"/>
              </w:rPr>
              <w:t>）</w:t>
            </w:r>
          </w:p>
          <w:p>
            <w:pPr>
              <w:rPr>
                <w:rFonts w:ascii="仿宋" w:hAnsi="仿宋" w:eastAsia="仿宋"/>
                <w:kern w:val="0"/>
                <w:sz w:val="22"/>
              </w:rPr>
            </w:pPr>
            <w:r>
              <w:rPr>
                <w:rFonts w:hint="eastAsia" w:ascii="仿宋" w:hAnsi="仿宋" w:eastAsia="仿宋"/>
              </w:rPr>
              <w:t>账号：</w:t>
            </w:r>
            <w:r>
              <w:rPr>
                <w:rFonts w:ascii="仿宋" w:hAnsi="仿宋" w:eastAsia="仿宋"/>
              </w:rPr>
              <w:t>1100 1020 1000 5603 0985</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0" w:type="dxa"/>
            <w:bottom w:w="0" w:type="dxa"/>
            <w:right w:w="0" w:type="dxa"/>
          </w:tblCellMar>
        </w:tblPrEx>
        <w:trPr>
          <w:trHeight w:val="1357" w:hRule="atLeast"/>
        </w:trPr>
        <w:tc>
          <w:tcPr>
            <w:tcW w:w="9302" w:type="dxa"/>
            <w:gridSpan w:val="9"/>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spacing w:line="360" w:lineRule="auto"/>
              <w:rPr>
                <w:rFonts w:ascii="仿宋" w:hAnsi="仿宋" w:eastAsia="仿宋" w:cs="宋体"/>
                <w:b/>
                <w:sz w:val="24"/>
              </w:rPr>
            </w:pPr>
            <w:r>
              <w:rPr>
                <w:rFonts w:hint="eastAsia" w:ascii="仿宋" w:hAnsi="仿宋" w:eastAsia="仿宋" w:cs="宋体"/>
                <w:b/>
                <w:sz w:val="24"/>
              </w:rPr>
              <w:t>报名咨询：</w:t>
            </w:r>
          </w:p>
          <w:p>
            <w:pPr>
              <w:spacing w:line="360" w:lineRule="auto"/>
              <w:rPr>
                <w:rFonts w:ascii="仿宋" w:hAnsi="仿宋" w:eastAsia="仿宋" w:cs="宋体"/>
                <w:sz w:val="24"/>
              </w:rPr>
            </w:pPr>
            <w:r>
              <w:rPr>
                <w:rFonts w:hint="eastAsia" w:ascii="仿宋" w:hAnsi="仿宋" w:eastAsia="仿宋" w:cs="宋体"/>
                <w:sz w:val="24"/>
              </w:rPr>
              <w:t>联系人：李明吉      手机：15652426725（同微信）     邮箱：2635131094@qq.com</w:t>
            </w:r>
          </w:p>
          <w:p>
            <w:pPr>
              <w:spacing w:line="360" w:lineRule="auto"/>
              <w:rPr>
                <w:rFonts w:ascii="仿宋" w:hAnsi="仿宋" w:eastAsia="仿宋" w:cs="宋体"/>
                <w:b/>
                <w:color w:val="000000"/>
                <w:kern w:val="0"/>
                <w:szCs w:val="21"/>
              </w:rPr>
            </w:pPr>
            <w:r>
              <w:rPr>
                <w:rFonts w:hint="eastAsia" w:ascii="仿宋" w:hAnsi="仿宋" w:eastAsia="仿宋" w:cs="宋体"/>
                <w:sz w:val="24"/>
              </w:rPr>
              <w:t>注：请将报名回执表填写完整回复到报名邮箱 accountant_cfo@163.com</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Malgun Gothic Semilight"/>
    <w:panose1 w:val="020B0604020202020204"/>
    <w:charset w:val="86"/>
    <w:family w:val="swiss"/>
    <w:pitch w:val="default"/>
    <w:sig w:usb0="00000000" w:usb1="00000000" w:usb2="0000003F" w:usb3="00000000" w:csb0="003F01FF" w:csb1="00000000"/>
  </w:font>
  <w:font w:name="Helvetica Neue">
    <w:altName w:val="Times New Roman"/>
    <w:panose1 w:val="00000000000000000000"/>
    <w:charset w:val="00"/>
    <w:family w:val="auto"/>
    <w:pitch w:val="default"/>
    <w:sig w:usb0="00000000" w:usb1="00000000" w:usb2="00000010" w:usb3="00000000" w:csb0="0000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A34613"/>
    <w:rsid w:val="00003822"/>
    <w:rsid w:val="000A4F55"/>
    <w:rsid w:val="001B505C"/>
    <w:rsid w:val="001B729F"/>
    <w:rsid w:val="002367C3"/>
    <w:rsid w:val="00422935"/>
    <w:rsid w:val="00447C47"/>
    <w:rsid w:val="007452C8"/>
    <w:rsid w:val="008D061E"/>
    <w:rsid w:val="009A6D2B"/>
    <w:rsid w:val="00A34613"/>
    <w:rsid w:val="00A44434"/>
    <w:rsid w:val="00A4551E"/>
    <w:rsid w:val="00AC7AFF"/>
    <w:rsid w:val="00B3615F"/>
    <w:rsid w:val="00C50370"/>
    <w:rsid w:val="44277934"/>
    <w:rsid w:val="5A407DD9"/>
    <w:rsid w:val="734A5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10"/>
    <w:qFormat/>
    <w:uiPriority w:val="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Theme="minorHAnsi" w:hAnsiTheme="minorHAnsi" w:eastAsiaTheme="minorEastAsia"/>
      <w:kern w:val="0"/>
      <w:sz w:val="24"/>
      <w:szCs w:val="24"/>
    </w:rPr>
  </w:style>
  <w:style w:type="character" w:customStyle="1" w:styleId="8">
    <w:name w:val="页眉 字符"/>
    <w:basedOn w:val="7"/>
    <w:link w:val="4"/>
    <w:semiHidden/>
    <w:uiPriority w:val="99"/>
    <w:rPr>
      <w:sz w:val="18"/>
      <w:szCs w:val="18"/>
    </w:rPr>
  </w:style>
  <w:style w:type="character" w:customStyle="1" w:styleId="9">
    <w:name w:val="页脚 字符"/>
    <w:basedOn w:val="7"/>
    <w:link w:val="3"/>
    <w:semiHidden/>
    <w:uiPriority w:val="99"/>
    <w:rPr>
      <w:sz w:val="18"/>
      <w:szCs w:val="18"/>
    </w:rPr>
  </w:style>
  <w:style w:type="character" w:customStyle="1" w:styleId="10">
    <w:name w:val="标题 3 字符"/>
    <w:basedOn w:val="7"/>
    <w:link w:val="2"/>
    <w:uiPriority w:val="9"/>
    <w:rPr>
      <w:b/>
      <w:bCs/>
      <w:sz w:val="32"/>
      <w:szCs w:val="32"/>
    </w:rPr>
  </w:style>
  <w:style w:type="paragraph" w:customStyle="1" w:styleId="11">
    <w:name w:val="默认"/>
    <w:qFormat/>
    <w:uiPriority w:val="0"/>
    <w:pPr>
      <w:spacing w:before="160"/>
    </w:pPr>
    <w:rPr>
      <w:rFonts w:hint="eastAsia" w:ascii="Arial Unicode MS" w:hAnsi="Arial Unicode MS" w:eastAsia="Helvetica Neue" w:cs="Arial Unicode MS"/>
      <w:color w:val="000000"/>
      <w:sz w:val="24"/>
      <w:szCs w:val="24"/>
      <w:lang w:val="zh-CN"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DoubleOX</Company>
  <Pages>5</Pages>
  <Words>331</Words>
  <Characters>1890</Characters>
  <Lines>15</Lines>
  <Paragraphs>4</Paragraphs>
  <TotalTime>3</TotalTime>
  <ScaleCrop>false</ScaleCrop>
  <LinksUpToDate>false</LinksUpToDate>
  <CharactersWithSpaces>2217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2023-12-26T14:29:00Z</dcterms:created>
  <dc:creator>David-Ding</dc:creator>
  <cp:lastModifiedBy>Gloria Wu</cp:lastModifiedBy>
  <dcterms:modified xsi:type="dcterms:W3CDTF">2023-12-29T06:20:09Z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5B2F22F7BDAE467AB39EBD2D8125A2AE_12</vt:lpwstr>
  </property>
</Properties>
</file>