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40" w:after="240"/>
        <w:jc w:val="center"/>
        <w:outlineLvl w:val="2"/>
        <w:rPr>
          <w:rFonts w:ascii="宋体" w:hAnsi="宋体" w:cs="宋体"/>
          <w:b/>
          <w:bCs/>
          <w:kern w:val="0"/>
          <w:sz w:val="30"/>
          <w:szCs w:val="30"/>
        </w:rPr>
      </w:pPr>
      <w:r>
        <w:rPr>
          <w:rFonts w:hint="eastAsia" w:ascii="宋体" w:hAnsi="宋体" w:cs="宋体"/>
          <w:b/>
          <w:bCs/>
          <w:kern w:val="0"/>
          <w:sz w:val="30"/>
          <w:szCs w:val="30"/>
          <w:lang w:eastAsia="zh-CN"/>
        </w:rPr>
        <w:t>“</w:t>
      </w:r>
      <w:r>
        <w:rPr>
          <w:rFonts w:hint="eastAsia" w:ascii="宋体" w:hAnsi="宋体" w:cs="宋体"/>
          <w:b/>
          <w:bCs/>
          <w:kern w:val="0"/>
          <w:sz w:val="30"/>
          <w:szCs w:val="30"/>
        </w:rPr>
        <w:t>战略导向下全面预算管理与绩效体系</w:t>
      </w:r>
      <w:r>
        <w:rPr>
          <w:rFonts w:hint="eastAsia" w:ascii="宋体" w:hAnsi="宋体" w:cs="宋体"/>
          <w:b/>
          <w:bCs/>
          <w:kern w:val="0"/>
          <w:sz w:val="30"/>
          <w:szCs w:val="30"/>
          <w:lang w:eastAsia="zh-CN"/>
        </w:rPr>
        <w:t>”</w:t>
      </w:r>
      <w:bookmarkStart w:id="0" w:name="_GoBack"/>
      <w:bookmarkEnd w:id="0"/>
      <w:r>
        <w:rPr>
          <w:rFonts w:hint="eastAsia" w:ascii="宋体" w:hAnsi="宋体" w:cs="宋体"/>
          <w:b/>
          <w:bCs/>
          <w:kern w:val="0"/>
          <w:sz w:val="30"/>
          <w:szCs w:val="30"/>
        </w:rPr>
        <w:t>高级研修班</w:t>
      </w:r>
    </w:p>
    <w:p>
      <w:pPr>
        <w:pStyle w:val="8"/>
        <w:spacing w:beforeLines="50" w:line="360" w:lineRule="exact"/>
        <w:rPr>
          <w:rFonts w:ascii="宋体" w:hAnsi="宋体"/>
          <w:b/>
          <w:sz w:val="24"/>
          <w:szCs w:val="24"/>
        </w:rPr>
      </w:pPr>
      <w:r>
        <w:rPr>
          <w:rFonts w:hint="eastAsia" w:ascii="宋体" w:hAnsi="宋体"/>
          <w:b/>
          <w:sz w:val="24"/>
          <w:szCs w:val="24"/>
        </w:rPr>
        <w:t>一、培训背景</w:t>
      </w:r>
    </w:p>
    <w:p>
      <w:pPr>
        <w:spacing w:line="500" w:lineRule="exact"/>
        <w:ind w:firstLine="480" w:firstLineChars="200"/>
        <w:rPr>
          <w:rFonts w:ascii="宋体" w:hAnsi="宋体"/>
          <w:sz w:val="24"/>
          <w:szCs w:val="24"/>
        </w:rPr>
      </w:pPr>
      <w:r>
        <w:rPr>
          <w:rFonts w:hint="eastAsia" w:ascii="宋体" w:hAnsi="宋体"/>
          <w:sz w:val="24"/>
          <w:szCs w:val="24"/>
        </w:rPr>
        <w:t>企业战略是着眼于企业未来发展愿景，以企业外界的变化和内部自身的资源情况为基准，为保证企业在激烈的市场中脱颖而出，力求企业能够长期发展而进行的总体性规划。企业战略的本质在于取得突破性业绩增长，这就要求企业深刻洞察经济发展重大机遇，创新和变革商业模式，从中找到新的业绩驱动，形成策略组合并高效执行。</w:t>
      </w:r>
    </w:p>
    <w:p>
      <w:pPr>
        <w:spacing w:line="500" w:lineRule="exact"/>
        <w:ind w:firstLine="480" w:firstLineChars="200"/>
        <w:rPr>
          <w:rFonts w:ascii="宋体" w:hAnsi="宋体"/>
          <w:sz w:val="24"/>
          <w:szCs w:val="24"/>
        </w:rPr>
      </w:pPr>
      <w:r>
        <w:rPr>
          <w:rFonts w:hint="eastAsia" w:ascii="宋体" w:hAnsi="宋体"/>
          <w:sz w:val="24"/>
          <w:szCs w:val="24"/>
        </w:rPr>
        <w:t>“战略-预算-绩效”是企业经营管理的三驾马车，预算管理和绩效管理是落实企业战略目标的有效工具。全面预算管理以战略目标为导向，对未来的经营及财务进行预测和筹划，有助于提升企业经营管理水平和绩效。为此，北京国家会计学院在积累和总结多年战略预算和绩效管理的实务经验的基础上，2024年推出《战略导向下全面预算管理与绩效体系》高级研修班，帮助企业正视商业环境变化带来的冲击，提前布局新型企业发展战略与风控机制，打造战略到执行的体系，为企业发展助力注入全新动力。</w:t>
      </w:r>
    </w:p>
    <w:p>
      <w:pPr>
        <w:pStyle w:val="8"/>
        <w:spacing w:beforeLines="50" w:line="360" w:lineRule="exact"/>
        <w:rPr>
          <w:rFonts w:ascii="宋体" w:hAnsi="宋体"/>
          <w:b/>
          <w:sz w:val="24"/>
          <w:szCs w:val="24"/>
        </w:rPr>
      </w:pPr>
      <w:r>
        <w:rPr>
          <w:rFonts w:ascii="宋体" w:hAnsi="宋体"/>
          <w:b/>
          <w:sz w:val="24"/>
          <w:szCs w:val="24"/>
        </w:rPr>
        <w:t>二、培训收益</w:t>
      </w:r>
    </w:p>
    <w:p>
      <w:pPr>
        <w:spacing w:line="500" w:lineRule="exact"/>
        <w:ind w:firstLine="480" w:firstLineChars="200"/>
        <w:rPr>
          <w:rFonts w:ascii="宋体" w:hAnsi="宋体"/>
          <w:sz w:val="24"/>
          <w:szCs w:val="24"/>
        </w:rPr>
      </w:pPr>
      <w:r>
        <w:rPr>
          <w:rFonts w:hint="eastAsia" w:ascii="宋体" w:hAnsi="宋体"/>
          <w:sz w:val="24"/>
          <w:szCs w:val="24"/>
        </w:rPr>
        <w:t>1.解读全面预算管理和绩效管理的实施要点</w:t>
      </w:r>
    </w:p>
    <w:p>
      <w:pPr>
        <w:spacing w:line="500" w:lineRule="exact"/>
        <w:ind w:firstLine="480" w:firstLineChars="200"/>
        <w:rPr>
          <w:rFonts w:ascii="宋体" w:hAnsi="宋体"/>
          <w:sz w:val="24"/>
          <w:szCs w:val="24"/>
        </w:rPr>
      </w:pPr>
      <w:r>
        <w:rPr>
          <w:rFonts w:hint="eastAsia" w:ascii="宋体" w:hAnsi="宋体"/>
          <w:sz w:val="24"/>
          <w:szCs w:val="24"/>
        </w:rPr>
        <w:t>2.帮助企业掌握战略布局关键要点和预算衔接路径</w:t>
      </w:r>
    </w:p>
    <w:p>
      <w:pPr>
        <w:spacing w:line="500" w:lineRule="exact"/>
        <w:ind w:firstLine="480" w:firstLineChars="200"/>
        <w:rPr>
          <w:rFonts w:ascii="宋体" w:hAnsi="宋体"/>
          <w:sz w:val="24"/>
          <w:szCs w:val="24"/>
        </w:rPr>
      </w:pPr>
      <w:r>
        <w:rPr>
          <w:rFonts w:hint="eastAsia" w:ascii="宋体" w:hAnsi="宋体"/>
          <w:sz w:val="24"/>
          <w:szCs w:val="24"/>
        </w:rPr>
        <w:t>3.帮助企业规划战略落地实施、打通战略到执行</w:t>
      </w:r>
    </w:p>
    <w:p>
      <w:pPr>
        <w:spacing w:line="500" w:lineRule="exact"/>
        <w:ind w:firstLine="480" w:firstLineChars="200"/>
        <w:rPr>
          <w:rFonts w:ascii="宋体" w:hAnsi="宋体"/>
          <w:sz w:val="24"/>
          <w:szCs w:val="24"/>
        </w:rPr>
      </w:pPr>
      <w:r>
        <w:rPr>
          <w:rFonts w:hint="eastAsia" w:ascii="宋体" w:hAnsi="宋体"/>
          <w:sz w:val="24"/>
          <w:szCs w:val="24"/>
        </w:rPr>
        <w:t>4.帮助企业掌握战略绩效管理体系建立实施办法</w:t>
      </w:r>
    </w:p>
    <w:p>
      <w:pPr>
        <w:spacing w:line="500" w:lineRule="exact"/>
        <w:ind w:firstLine="480" w:firstLineChars="200"/>
        <w:rPr>
          <w:rFonts w:ascii="宋体" w:hAnsi="宋体"/>
          <w:sz w:val="24"/>
          <w:szCs w:val="24"/>
        </w:rPr>
      </w:pPr>
      <w:r>
        <w:rPr>
          <w:rFonts w:hint="eastAsia" w:ascii="宋体" w:hAnsi="宋体"/>
          <w:sz w:val="24"/>
          <w:szCs w:val="24"/>
        </w:rPr>
        <w:t>5.帮助学员掌握预算信息化对企业战略决策的支持</w:t>
      </w:r>
    </w:p>
    <w:p>
      <w:pPr>
        <w:pStyle w:val="8"/>
        <w:spacing w:beforeLines="50" w:line="360" w:lineRule="exact"/>
        <w:rPr>
          <w:rFonts w:ascii="宋体" w:hAnsi="宋体"/>
          <w:b/>
          <w:sz w:val="24"/>
          <w:szCs w:val="24"/>
        </w:rPr>
      </w:pPr>
      <w:r>
        <w:rPr>
          <w:rFonts w:ascii="宋体" w:hAnsi="宋体"/>
          <w:b/>
          <w:sz w:val="24"/>
          <w:szCs w:val="24"/>
        </w:rPr>
        <w:t>三、培训对象</w:t>
      </w:r>
    </w:p>
    <w:p>
      <w:pPr>
        <w:spacing w:line="500" w:lineRule="exact"/>
        <w:ind w:firstLine="480" w:firstLineChars="200"/>
        <w:rPr>
          <w:rFonts w:ascii="宋体" w:hAnsi="宋体"/>
          <w:sz w:val="24"/>
          <w:szCs w:val="24"/>
        </w:rPr>
      </w:pPr>
      <w:r>
        <w:rPr>
          <w:rFonts w:hint="eastAsia" w:ascii="宋体" w:hAnsi="宋体"/>
          <w:sz w:val="24"/>
          <w:szCs w:val="24"/>
        </w:rPr>
        <w:t>1.企业董事长、总经理、副总经理、财务总监等企业中高层管理者</w:t>
      </w:r>
    </w:p>
    <w:p>
      <w:pPr>
        <w:spacing w:line="500" w:lineRule="exact"/>
        <w:ind w:firstLine="480" w:firstLineChars="200"/>
        <w:rPr>
          <w:rFonts w:ascii="宋体" w:hAnsi="宋体"/>
          <w:sz w:val="24"/>
          <w:szCs w:val="24"/>
        </w:rPr>
      </w:pPr>
      <w:r>
        <w:rPr>
          <w:rFonts w:hint="eastAsia" w:ascii="宋体" w:hAnsi="宋体"/>
          <w:sz w:val="24"/>
          <w:szCs w:val="24"/>
        </w:rPr>
        <w:t>2.财务部长、财务经理等财务骨干人员</w:t>
      </w:r>
    </w:p>
    <w:p>
      <w:pPr>
        <w:spacing w:line="500" w:lineRule="exact"/>
        <w:ind w:right="-315" w:rightChars="-150" w:firstLine="480" w:firstLineChars="200"/>
        <w:rPr>
          <w:rFonts w:ascii="宋体" w:hAnsi="宋体"/>
          <w:sz w:val="24"/>
          <w:szCs w:val="24"/>
        </w:rPr>
      </w:pPr>
      <w:r>
        <w:rPr>
          <w:rFonts w:hint="eastAsia" w:ascii="宋体" w:hAnsi="宋体"/>
          <w:sz w:val="24"/>
          <w:szCs w:val="24"/>
        </w:rPr>
        <w:t>3.会计师事务所、管理咨询公司等中介机构从事战略管理咨询业务的相关人员</w:t>
      </w:r>
    </w:p>
    <w:p>
      <w:pPr>
        <w:spacing w:line="500" w:lineRule="exact"/>
        <w:ind w:firstLine="480" w:firstLineChars="200"/>
        <w:jc w:val="left"/>
        <w:rPr>
          <w:rFonts w:ascii="宋体" w:hAnsi="宋体"/>
          <w:sz w:val="24"/>
          <w:szCs w:val="24"/>
        </w:rPr>
      </w:pPr>
      <w:r>
        <w:rPr>
          <w:rFonts w:hint="eastAsia" w:ascii="宋体" w:hAnsi="宋体"/>
          <w:sz w:val="24"/>
          <w:szCs w:val="24"/>
        </w:rPr>
        <w:t>4.高校从事财务理论研究与实务教学的教师</w:t>
      </w:r>
    </w:p>
    <w:p>
      <w:pPr>
        <w:pStyle w:val="8"/>
        <w:spacing w:beforeLines="50" w:line="360" w:lineRule="exact"/>
        <w:rPr>
          <w:rFonts w:ascii="宋体" w:hAnsi="宋体"/>
          <w:b/>
          <w:sz w:val="24"/>
          <w:szCs w:val="24"/>
        </w:rPr>
      </w:pPr>
      <w:r>
        <w:rPr>
          <w:rFonts w:ascii="宋体" w:hAnsi="宋体"/>
          <w:b/>
          <w:sz w:val="24"/>
          <w:szCs w:val="24"/>
        </w:rPr>
        <w:t>四、培训内容</w:t>
      </w:r>
    </w:p>
    <w:p>
      <w:pPr>
        <w:spacing w:line="500" w:lineRule="exact"/>
        <w:ind w:firstLine="241" w:firstLineChars="100"/>
        <w:rPr>
          <w:rFonts w:ascii="宋体" w:hAnsi="宋体"/>
          <w:b/>
          <w:sz w:val="24"/>
          <w:szCs w:val="24"/>
        </w:rPr>
      </w:pPr>
      <w:r>
        <w:rPr>
          <w:rFonts w:ascii="宋体" w:hAnsi="宋体"/>
          <w:b/>
          <w:sz w:val="24"/>
          <w:szCs w:val="24"/>
        </w:rPr>
        <w:t>（</w:t>
      </w:r>
      <w:r>
        <w:rPr>
          <w:rFonts w:hint="eastAsia" w:ascii="宋体" w:hAnsi="宋体"/>
          <w:b/>
          <w:sz w:val="24"/>
          <w:szCs w:val="24"/>
        </w:rPr>
        <w:t>一</w:t>
      </w:r>
      <w:r>
        <w:rPr>
          <w:rFonts w:ascii="宋体" w:hAnsi="宋体"/>
          <w:b/>
          <w:sz w:val="24"/>
          <w:szCs w:val="24"/>
        </w:rPr>
        <w:t>）</w:t>
      </w:r>
      <w:r>
        <w:rPr>
          <w:rFonts w:hint="eastAsia" w:ascii="宋体" w:hAnsi="宋体"/>
          <w:b/>
          <w:sz w:val="24"/>
          <w:szCs w:val="24"/>
        </w:rPr>
        <w:t>基于战略的全面预算管理</w:t>
      </w:r>
    </w:p>
    <w:p>
      <w:pPr>
        <w:spacing w:line="500" w:lineRule="exact"/>
        <w:ind w:firstLine="480" w:firstLineChars="200"/>
        <w:rPr>
          <w:rFonts w:ascii="宋体" w:hAnsi="宋体"/>
          <w:sz w:val="24"/>
          <w:szCs w:val="24"/>
        </w:rPr>
      </w:pPr>
      <w:r>
        <w:rPr>
          <w:rFonts w:hint="eastAsia" w:ascii="宋体" w:hAnsi="宋体"/>
          <w:sz w:val="24"/>
          <w:szCs w:val="24"/>
        </w:rPr>
        <w:t>1、战略规划：定方向、定目标、定模式</w:t>
      </w:r>
    </w:p>
    <w:p>
      <w:pPr>
        <w:spacing w:line="500" w:lineRule="exact"/>
        <w:ind w:firstLine="480" w:firstLineChars="200"/>
        <w:rPr>
          <w:rFonts w:ascii="宋体" w:hAnsi="宋体"/>
          <w:sz w:val="24"/>
          <w:szCs w:val="24"/>
        </w:rPr>
      </w:pPr>
      <w:r>
        <w:rPr>
          <w:rFonts w:hint="eastAsia" w:ascii="宋体" w:hAnsi="宋体"/>
          <w:sz w:val="24"/>
          <w:szCs w:val="24"/>
        </w:rPr>
        <w:t>2、从战略目标转化为经营计划的过程</w:t>
      </w:r>
    </w:p>
    <w:p>
      <w:pPr>
        <w:spacing w:line="500" w:lineRule="exact"/>
        <w:ind w:firstLine="480" w:firstLineChars="200"/>
        <w:rPr>
          <w:rFonts w:ascii="宋体" w:hAnsi="宋体"/>
          <w:sz w:val="24"/>
          <w:szCs w:val="24"/>
        </w:rPr>
      </w:pPr>
      <w:r>
        <w:rPr>
          <w:rFonts w:hint="eastAsia" w:ascii="宋体" w:hAnsi="宋体"/>
          <w:sz w:val="24"/>
          <w:szCs w:val="24"/>
        </w:rPr>
        <w:t>3、经营目标与管理目标的制定与分解</w:t>
      </w:r>
    </w:p>
    <w:p>
      <w:pPr>
        <w:spacing w:line="500" w:lineRule="exact"/>
        <w:ind w:firstLine="480" w:firstLineChars="200"/>
        <w:rPr>
          <w:rFonts w:ascii="宋体" w:hAnsi="宋体"/>
          <w:sz w:val="24"/>
          <w:szCs w:val="24"/>
        </w:rPr>
      </w:pPr>
      <w:r>
        <w:rPr>
          <w:rFonts w:hint="eastAsia" w:ascii="宋体" w:hAnsi="宋体"/>
          <w:sz w:val="24"/>
          <w:szCs w:val="24"/>
        </w:rPr>
        <w:t>4、全面预算管理的组织体系与责任中心分类</w:t>
      </w:r>
    </w:p>
    <w:p>
      <w:pPr>
        <w:spacing w:line="500" w:lineRule="exact"/>
        <w:ind w:firstLine="480" w:firstLineChars="200"/>
        <w:rPr>
          <w:rFonts w:ascii="宋体" w:hAnsi="宋体"/>
          <w:sz w:val="24"/>
          <w:szCs w:val="24"/>
        </w:rPr>
      </w:pPr>
      <w:r>
        <w:rPr>
          <w:rFonts w:hint="eastAsia" w:ascii="宋体" w:hAnsi="宋体"/>
          <w:sz w:val="24"/>
          <w:szCs w:val="24"/>
        </w:rPr>
        <w:t>5、全面预算管理制度与流程</w:t>
      </w:r>
    </w:p>
    <w:p>
      <w:pPr>
        <w:spacing w:line="500" w:lineRule="exact"/>
        <w:ind w:firstLine="480" w:firstLineChars="200"/>
        <w:rPr>
          <w:rFonts w:ascii="宋体" w:hAnsi="宋体"/>
          <w:sz w:val="24"/>
          <w:szCs w:val="24"/>
        </w:rPr>
      </w:pPr>
      <w:r>
        <w:rPr>
          <w:rFonts w:hint="eastAsia" w:ascii="宋体" w:hAnsi="宋体"/>
          <w:sz w:val="24"/>
          <w:szCs w:val="24"/>
        </w:rPr>
        <w:t>6、全流程成本管理</w:t>
      </w:r>
    </w:p>
    <w:p>
      <w:pPr>
        <w:spacing w:line="500" w:lineRule="exact"/>
        <w:ind w:firstLine="241" w:firstLineChars="100"/>
        <w:rPr>
          <w:rFonts w:ascii="宋体" w:hAnsi="宋体"/>
          <w:b/>
          <w:sz w:val="24"/>
          <w:szCs w:val="24"/>
        </w:rPr>
      </w:pPr>
      <w:r>
        <w:rPr>
          <w:rFonts w:ascii="宋体" w:hAnsi="宋体"/>
          <w:b/>
          <w:sz w:val="24"/>
          <w:szCs w:val="24"/>
        </w:rPr>
        <w:t>（</w:t>
      </w:r>
      <w:r>
        <w:rPr>
          <w:rFonts w:hint="eastAsia" w:ascii="宋体" w:hAnsi="宋体"/>
          <w:b/>
          <w:sz w:val="24"/>
          <w:szCs w:val="24"/>
        </w:rPr>
        <w:t>二</w:t>
      </w:r>
      <w:r>
        <w:rPr>
          <w:rFonts w:ascii="宋体" w:hAnsi="宋体"/>
          <w:b/>
          <w:sz w:val="24"/>
          <w:szCs w:val="24"/>
        </w:rPr>
        <w:t>）预算的跟踪与执行</w:t>
      </w:r>
    </w:p>
    <w:p>
      <w:pPr>
        <w:spacing w:line="500" w:lineRule="exact"/>
        <w:ind w:firstLine="480" w:firstLineChars="200"/>
        <w:rPr>
          <w:rFonts w:ascii="宋体" w:hAnsi="宋体"/>
          <w:sz w:val="24"/>
          <w:szCs w:val="24"/>
        </w:rPr>
      </w:pPr>
      <w:r>
        <w:rPr>
          <w:rFonts w:ascii="宋体" w:hAnsi="宋体"/>
          <w:sz w:val="24"/>
          <w:szCs w:val="24"/>
        </w:rPr>
        <w:t>1.预算的有效执行</w:t>
      </w:r>
    </w:p>
    <w:p>
      <w:pPr>
        <w:spacing w:line="500" w:lineRule="exact"/>
        <w:ind w:firstLine="480" w:firstLineChars="200"/>
        <w:rPr>
          <w:rFonts w:ascii="宋体" w:hAnsi="宋体"/>
          <w:sz w:val="24"/>
          <w:szCs w:val="24"/>
        </w:rPr>
      </w:pPr>
      <w:r>
        <w:rPr>
          <w:rFonts w:ascii="宋体" w:hAnsi="宋体"/>
          <w:sz w:val="24"/>
          <w:szCs w:val="24"/>
        </w:rPr>
        <w:t>2.全面预算管理的差异分析</w:t>
      </w:r>
    </w:p>
    <w:p>
      <w:pPr>
        <w:spacing w:line="500" w:lineRule="exact"/>
        <w:ind w:firstLine="480" w:firstLineChars="200"/>
        <w:rPr>
          <w:rFonts w:ascii="宋体" w:hAnsi="宋体"/>
          <w:sz w:val="24"/>
          <w:szCs w:val="24"/>
        </w:rPr>
      </w:pPr>
      <w:r>
        <w:rPr>
          <w:rFonts w:ascii="宋体" w:hAnsi="宋体"/>
          <w:sz w:val="24"/>
          <w:szCs w:val="24"/>
        </w:rPr>
        <w:t>3.案例分析：弹性预算的重要作用与实战应用</w:t>
      </w:r>
    </w:p>
    <w:p>
      <w:pPr>
        <w:spacing w:line="500" w:lineRule="exact"/>
        <w:ind w:firstLine="480" w:firstLineChars="200"/>
        <w:rPr>
          <w:rFonts w:ascii="宋体" w:hAnsi="宋体"/>
          <w:sz w:val="24"/>
          <w:szCs w:val="24"/>
        </w:rPr>
      </w:pPr>
      <w:r>
        <w:rPr>
          <w:rFonts w:ascii="宋体" w:hAnsi="宋体"/>
          <w:sz w:val="24"/>
          <w:szCs w:val="24"/>
        </w:rPr>
        <w:t>4.全面预算管理的重要工具——仪表板</w:t>
      </w:r>
    </w:p>
    <w:p>
      <w:pPr>
        <w:spacing w:line="500" w:lineRule="exact"/>
        <w:ind w:firstLine="480" w:firstLineChars="200"/>
        <w:rPr>
          <w:rFonts w:ascii="宋体" w:hAnsi="宋体"/>
          <w:sz w:val="24"/>
          <w:szCs w:val="24"/>
        </w:rPr>
      </w:pPr>
      <w:r>
        <w:rPr>
          <w:rFonts w:ascii="宋体" w:hAnsi="宋体"/>
          <w:sz w:val="24"/>
          <w:szCs w:val="24"/>
        </w:rPr>
        <w:t>5.如何使用仪表板及时跟踪行动计划的执行情况</w:t>
      </w:r>
    </w:p>
    <w:p>
      <w:pPr>
        <w:spacing w:line="500" w:lineRule="exact"/>
        <w:ind w:firstLine="241" w:firstLineChars="100"/>
        <w:rPr>
          <w:rFonts w:ascii="宋体" w:hAnsi="宋体"/>
          <w:sz w:val="24"/>
          <w:szCs w:val="24"/>
        </w:rPr>
      </w:pPr>
      <w:r>
        <w:rPr>
          <w:rFonts w:ascii="宋体" w:hAnsi="宋体"/>
          <w:b/>
          <w:sz w:val="24"/>
          <w:szCs w:val="24"/>
        </w:rPr>
        <w:t>（</w:t>
      </w:r>
      <w:r>
        <w:rPr>
          <w:rFonts w:hint="eastAsia" w:ascii="宋体" w:hAnsi="宋体"/>
          <w:b/>
          <w:sz w:val="24"/>
          <w:szCs w:val="24"/>
        </w:rPr>
        <w:t>三</w:t>
      </w:r>
      <w:r>
        <w:rPr>
          <w:rFonts w:ascii="宋体" w:hAnsi="宋体"/>
          <w:b/>
          <w:sz w:val="24"/>
          <w:szCs w:val="24"/>
        </w:rPr>
        <w:t>）</w:t>
      </w:r>
      <w:r>
        <w:rPr>
          <w:rFonts w:hint="eastAsia" w:ascii="宋体" w:hAnsi="宋体"/>
          <w:b/>
          <w:sz w:val="24"/>
          <w:szCs w:val="24"/>
        </w:rPr>
        <w:t>建立战略绩效管理体系</w:t>
      </w:r>
    </w:p>
    <w:p>
      <w:pPr>
        <w:spacing w:line="500" w:lineRule="exact"/>
        <w:ind w:firstLine="480" w:firstLineChars="200"/>
        <w:rPr>
          <w:rFonts w:ascii="宋体" w:hAnsi="宋体"/>
          <w:sz w:val="24"/>
          <w:szCs w:val="24"/>
        </w:rPr>
      </w:pPr>
      <w:r>
        <w:rPr>
          <w:rFonts w:hint="eastAsia" w:ascii="宋体" w:hAnsi="宋体"/>
          <w:sz w:val="24"/>
          <w:szCs w:val="24"/>
        </w:rPr>
        <w:t>1.公司（总部）级指标</w:t>
      </w:r>
    </w:p>
    <w:p>
      <w:pPr>
        <w:spacing w:line="500" w:lineRule="exact"/>
        <w:ind w:firstLine="480" w:firstLineChars="200"/>
        <w:rPr>
          <w:rFonts w:ascii="宋体" w:hAnsi="宋体"/>
          <w:sz w:val="24"/>
          <w:szCs w:val="24"/>
        </w:rPr>
      </w:pPr>
      <w:r>
        <w:rPr>
          <w:rFonts w:hint="eastAsia" w:ascii="宋体" w:hAnsi="宋体"/>
          <w:sz w:val="24"/>
          <w:szCs w:val="24"/>
        </w:rPr>
        <w:t>2.部门级指标</w:t>
      </w:r>
    </w:p>
    <w:p>
      <w:pPr>
        <w:spacing w:line="500" w:lineRule="exact"/>
        <w:ind w:firstLine="480" w:firstLineChars="200"/>
        <w:rPr>
          <w:rFonts w:ascii="宋体" w:hAnsi="宋体"/>
          <w:sz w:val="24"/>
          <w:szCs w:val="24"/>
        </w:rPr>
      </w:pPr>
      <w:r>
        <w:rPr>
          <w:rFonts w:hint="eastAsia" w:ascii="宋体" w:hAnsi="宋体"/>
          <w:sz w:val="24"/>
          <w:szCs w:val="24"/>
        </w:rPr>
        <w:t>3.事业部、分公司、办事处级指标</w:t>
      </w:r>
    </w:p>
    <w:p>
      <w:pPr>
        <w:spacing w:line="500" w:lineRule="exact"/>
        <w:ind w:firstLine="480" w:firstLineChars="200"/>
        <w:rPr>
          <w:rFonts w:ascii="宋体" w:hAnsi="宋体"/>
          <w:sz w:val="24"/>
          <w:szCs w:val="24"/>
        </w:rPr>
      </w:pPr>
      <w:r>
        <w:rPr>
          <w:rFonts w:hint="eastAsia" w:ascii="宋体" w:hAnsi="宋体"/>
          <w:sz w:val="24"/>
          <w:szCs w:val="24"/>
        </w:rPr>
        <w:t>4.岗位级指标</w:t>
      </w:r>
    </w:p>
    <w:p>
      <w:pPr>
        <w:spacing w:line="500" w:lineRule="exact"/>
        <w:ind w:firstLine="480" w:firstLineChars="200"/>
        <w:rPr>
          <w:rFonts w:ascii="宋体" w:hAnsi="宋体"/>
          <w:sz w:val="24"/>
          <w:szCs w:val="24"/>
        </w:rPr>
      </w:pPr>
      <w:r>
        <w:rPr>
          <w:rFonts w:hint="eastAsia" w:ascii="宋体" w:hAnsi="宋体"/>
          <w:sz w:val="24"/>
          <w:szCs w:val="24"/>
        </w:rPr>
        <w:t>5</w:t>
      </w:r>
      <w:r>
        <w:rPr>
          <w:rFonts w:ascii="宋体" w:hAnsi="宋体"/>
          <w:sz w:val="24"/>
          <w:szCs w:val="24"/>
        </w:rPr>
        <w:t>.</w:t>
      </w:r>
      <w:r>
        <w:rPr>
          <w:rFonts w:hint="eastAsia" w:ascii="宋体" w:hAnsi="宋体"/>
          <w:sz w:val="24"/>
          <w:szCs w:val="24"/>
        </w:rPr>
        <w:t>战略绩效管理循环</w:t>
      </w:r>
    </w:p>
    <w:p>
      <w:pPr>
        <w:spacing w:line="500" w:lineRule="exact"/>
        <w:ind w:firstLine="480" w:firstLineChars="200"/>
        <w:rPr>
          <w:rFonts w:ascii="宋体" w:hAnsi="宋体"/>
          <w:sz w:val="24"/>
          <w:szCs w:val="24"/>
        </w:rPr>
      </w:pPr>
      <w:r>
        <w:rPr>
          <w:rFonts w:hint="eastAsia" w:ascii="宋体" w:hAnsi="宋体"/>
          <w:sz w:val="24"/>
          <w:szCs w:val="24"/>
        </w:rPr>
        <w:t>6.战略解码-KSF、BSC、</w:t>
      </w:r>
      <w:r>
        <w:rPr>
          <w:rFonts w:ascii="宋体" w:hAnsi="宋体"/>
          <w:sz w:val="24"/>
          <w:szCs w:val="24"/>
        </w:rPr>
        <w:t>EVA</w:t>
      </w:r>
    </w:p>
    <w:p>
      <w:pPr>
        <w:spacing w:line="500" w:lineRule="exact"/>
        <w:ind w:firstLine="241" w:firstLineChars="100"/>
        <w:rPr>
          <w:rFonts w:ascii="宋体" w:hAnsi="宋体"/>
          <w:b/>
          <w:sz w:val="24"/>
          <w:szCs w:val="24"/>
        </w:rPr>
      </w:pPr>
      <w:r>
        <w:rPr>
          <w:rFonts w:ascii="宋体" w:hAnsi="宋体"/>
          <w:b/>
          <w:sz w:val="24"/>
          <w:szCs w:val="24"/>
        </w:rPr>
        <w:t>（</w:t>
      </w:r>
      <w:r>
        <w:rPr>
          <w:rFonts w:hint="eastAsia" w:ascii="宋体" w:hAnsi="宋体"/>
          <w:b/>
          <w:sz w:val="24"/>
          <w:szCs w:val="24"/>
        </w:rPr>
        <w:t>四</w:t>
      </w:r>
      <w:r>
        <w:rPr>
          <w:rFonts w:ascii="宋体" w:hAnsi="宋体"/>
          <w:b/>
          <w:sz w:val="24"/>
          <w:szCs w:val="24"/>
        </w:rPr>
        <w:t>）</w:t>
      </w:r>
      <w:r>
        <w:rPr>
          <w:rFonts w:hint="eastAsia" w:ascii="宋体" w:hAnsi="宋体"/>
          <w:b/>
          <w:sz w:val="24"/>
          <w:szCs w:val="24"/>
        </w:rPr>
        <w:t>战略性绩效管理的有效实施</w:t>
      </w:r>
    </w:p>
    <w:p>
      <w:pPr>
        <w:spacing w:line="50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战略绩效程序系统</w:t>
      </w:r>
    </w:p>
    <w:p>
      <w:pPr>
        <w:spacing w:line="500" w:lineRule="exact"/>
        <w:ind w:firstLine="480" w:firstLineChars="200"/>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战略绩效监控与过程管理</w:t>
      </w:r>
    </w:p>
    <w:p>
      <w:pPr>
        <w:spacing w:line="500" w:lineRule="exact"/>
        <w:ind w:firstLine="480" w:firstLineChars="200"/>
        <w:rPr>
          <w:rFonts w:ascii="宋体" w:hAnsi="宋体"/>
          <w:sz w:val="24"/>
          <w:szCs w:val="24"/>
        </w:rPr>
      </w:pPr>
      <w:r>
        <w:rPr>
          <w:rFonts w:hint="eastAsia" w:ascii="宋体" w:hAnsi="宋体"/>
          <w:sz w:val="24"/>
          <w:szCs w:val="24"/>
        </w:rPr>
        <w:t>3</w:t>
      </w:r>
      <w:r>
        <w:rPr>
          <w:rFonts w:ascii="宋体" w:hAnsi="宋体"/>
          <w:sz w:val="24"/>
          <w:szCs w:val="24"/>
        </w:rPr>
        <w:t>.</w:t>
      </w:r>
      <w:r>
        <w:rPr>
          <w:rFonts w:hint="eastAsia" w:ascii="宋体" w:hAnsi="宋体"/>
          <w:sz w:val="24"/>
          <w:szCs w:val="24"/>
        </w:rPr>
        <w:t>战略绩效管理软件的部署与运用</w:t>
      </w:r>
    </w:p>
    <w:p>
      <w:pPr>
        <w:spacing w:line="500" w:lineRule="exact"/>
        <w:ind w:firstLine="480" w:firstLineChars="200"/>
        <w:rPr>
          <w:rFonts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战略绩效管理制度的执行与监督</w:t>
      </w:r>
    </w:p>
    <w:p>
      <w:pPr>
        <w:spacing w:line="500" w:lineRule="exact"/>
        <w:ind w:firstLine="241" w:firstLineChars="100"/>
        <w:rPr>
          <w:rFonts w:ascii="宋体" w:hAnsi="宋体"/>
          <w:b/>
          <w:sz w:val="24"/>
          <w:szCs w:val="24"/>
        </w:rPr>
      </w:pPr>
      <w:r>
        <w:rPr>
          <w:rFonts w:ascii="宋体" w:hAnsi="宋体"/>
          <w:b/>
          <w:sz w:val="24"/>
          <w:szCs w:val="24"/>
        </w:rPr>
        <w:t>（</w:t>
      </w:r>
      <w:r>
        <w:rPr>
          <w:rFonts w:hint="eastAsia" w:ascii="宋体" w:hAnsi="宋体"/>
          <w:b/>
          <w:sz w:val="24"/>
          <w:szCs w:val="24"/>
        </w:rPr>
        <w:t>五</w:t>
      </w:r>
      <w:r>
        <w:rPr>
          <w:rFonts w:ascii="宋体" w:hAnsi="宋体"/>
          <w:b/>
          <w:sz w:val="24"/>
          <w:szCs w:val="24"/>
        </w:rPr>
        <w:t>）预算管理的信息化建设</w:t>
      </w:r>
    </w:p>
    <w:p>
      <w:pPr>
        <w:spacing w:line="500" w:lineRule="exact"/>
        <w:ind w:firstLine="480" w:firstLineChars="200"/>
        <w:rPr>
          <w:rFonts w:ascii="宋体" w:hAnsi="宋体"/>
          <w:sz w:val="24"/>
          <w:szCs w:val="24"/>
        </w:rPr>
      </w:pPr>
      <w:r>
        <w:rPr>
          <w:rFonts w:ascii="宋体" w:hAnsi="宋体"/>
          <w:sz w:val="24"/>
          <w:szCs w:val="24"/>
        </w:rPr>
        <w:t>1.管理水平、预算管理与信息化相匹配</w:t>
      </w:r>
    </w:p>
    <w:p>
      <w:pPr>
        <w:spacing w:line="500" w:lineRule="exact"/>
        <w:ind w:firstLine="480" w:firstLineChars="200"/>
        <w:rPr>
          <w:rFonts w:ascii="宋体" w:hAnsi="宋体"/>
          <w:sz w:val="24"/>
          <w:szCs w:val="24"/>
        </w:rPr>
      </w:pPr>
      <w:r>
        <w:rPr>
          <w:rFonts w:ascii="宋体" w:hAnsi="宋体"/>
          <w:sz w:val="24"/>
          <w:szCs w:val="24"/>
        </w:rPr>
        <w:t>2.战略分析与目标模拟</w:t>
      </w:r>
    </w:p>
    <w:p>
      <w:pPr>
        <w:spacing w:line="500" w:lineRule="exact"/>
        <w:ind w:firstLine="480" w:firstLineChars="200"/>
        <w:rPr>
          <w:rFonts w:ascii="宋体" w:hAnsi="宋体"/>
          <w:sz w:val="24"/>
          <w:szCs w:val="24"/>
        </w:rPr>
      </w:pPr>
      <w:r>
        <w:rPr>
          <w:rFonts w:ascii="宋体" w:hAnsi="宋体"/>
          <w:sz w:val="24"/>
          <w:szCs w:val="24"/>
        </w:rPr>
        <w:t>3.经营目标确定和分解</w:t>
      </w:r>
    </w:p>
    <w:p>
      <w:pPr>
        <w:spacing w:line="500" w:lineRule="exact"/>
        <w:ind w:firstLine="480" w:firstLineChars="200"/>
        <w:rPr>
          <w:rFonts w:ascii="宋体" w:hAnsi="宋体"/>
          <w:sz w:val="24"/>
          <w:szCs w:val="24"/>
        </w:rPr>
      </w:pPr>
      <w:r>
        <w:rPr>
          <w:rFonts w:ascii="宋体" w:hAnsi="宋体"/>
          <w:sz w:val="24"/>
          <w:szCs w:val="24"/>
        </w:rPr>
        <w:t>4.预算监控与分析</w:t>
      </w:r>
    </w:p>
    <w:p>
      <w:pPr>
        <w:pStyle w:val="8"/>
        <w:spacing w:beforeLines="50" w:line="360" w:lineRule="exact"/>
        <w:rPr>
          <w:rFonts w:ascii="宋体" w:hAnsi="宋体"/>
          <w:b/>
          <w:sz w:val="24"/>
          <w:szCs w:val="24"/>
        </w:rPr>
      </w:pPr>
      <w:r>
        <w:rPr>
          <w:rFonts w:hint="eastAsia" w:ascii="宋体" w:hAnsi="宋体"/>
          <w:b/>
          <w:sz w:val="24"/>
          <w:szCs w:val="24"/>
        </w:rPr>
        <w:t>五</w:t>
      </w:r>
      <w:r>
        <w:rPr>
          <w:rFonts w:ascii="宋体" w:hAnsi="宋体"/>
          <w:b/>
          <w:sz w:val="24"/>
          <w:szCs w:val="24"/>
        </w:rPr>
        <w:t>、师资力量</w:t>
      </w:r>
    </w:p>
    <w:p>
      <w:pPr>
        <w:spacing w:line="500" w:lineRule="exact"/>
        <w:ind w:firstLine="480" w:firstLineChars="200"/>
        <w:rPr>
          <w:rFonts w:ascii="宋体" w:hAnsi="宋体" w:cs="宋体" w:eastAsiaTheme="minorEastAsia"/>
          <w:kern w:val="0"/>
          <w:sz w:val="24"/>
          <w:szCs w:val="24"/>
        </w:rPr>
      </w:pPr>
      <w:r>
        <w:rPr>
          <w:rFonts w:ascii="宋体" w:hAnsi="宋体" w:cs="宋体" w:eastAsiaTheme="minorEastAsia"/>
          <w:kern w:val="0"/>
          <w:sz w:val="24"/>
          <w:szCs w:val="24"/>
        </w:rPr>
        <w:t>本课程由北京国家会计学院精心组织的专门师资团队授课。授课老师均具有深厚的理论功底及丰富的实践经验，包括北京国家会计学院教授、实务界资深专家、政策制定者等。具体师资以实际课表为准。</w:t>
      </w:r>
    </w:p>
    <w:p>
      <w:pPr>
        <w:pStyle w:val="8"/>
        <w:spacing w:beforeLines="50" w:line="360" w:lineRule="exact"/>
        <w:rPr>
          <w:rFonts w:ascii="宋体" w:hAnsi="宋体"/>
          <w:b/>
          <w:sz w:val="24"/>
          <w:szCs w:val="24"/>
        </w:rPr>
      </w:pPr>
      <w:r>
        <w:rPr>
          <w:rFonts w:hint="eastAsia" w:ascii="宋体" w:hAnsi="宋体"/>
          <w:b/>
          <w:sz w:val="24"/>
          <w:szCs w:val="24"/>
        </w:rPr>
        <w:t>六</w:t>
      </w:r>
      <w:r>
        <w:rPr>
          <w:rFonts w:ascii="宋体" w:hAnsi="宋体"/>
          <w:b/>
          <w:sz w:val="24"/>
          <w:szCs w:val="24"/>
        </w:rPr>
        <w:t>、时间地点</w:t>
      </w:r>
    </w:p>
    <w:tbl>
      <w:tblPr>
        <w:tblStyle w:val="4"/>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75" w:type="dxa"/>
          <w:left w:w="75" w:type="dxa"/>
          <w:bottom w:w="75" w:type="dxa"/>
          <w:right w:w="75" w:type="dxa"/>
        </w:tblCellMar>
      </w:tblPr>
      <w:tblGrid>
        <w:gridCol w:w="1411"/>
        <w:gridCol w:w="1431"/>
        <w:gridCol w:w="1849"/>
        <w:gridCol w:w="1454"/>
        <w:gridCol w:w="1018"/>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jc w:val="center"/>
        </w:trPr>
        <w:tc>
          <w:tcPr>
            <w:tcW w:w="1411" w:type="dxa"/>
            <w:tcBorders>
              <w:top w:val="single" w:color="000000" w:sz="6" w:space="0"/>
              <w:left w:val="single" w:color="000000" w:sz="6" w:space="0"/>
              <w:bottom w:val="single" w:color="000000" w:sz="6" w:space="0"/>
              <w:right w:val="single" w:color="000000" w:sz="6" w:space="0"/>
            </w:tcBorders>
          </w:tcPr>
          <w:p>
            <w:pPr>
              <w:widowControl/>
              <w:jc w:val="center"/>
              <w:rPr>
                <w:rFonts w:ascii="宋体" w:hAnsi="宋体" w:cs="宋体"/>
                <w:kern w:val="0"/>
                <w:sz w:val="24"/>
                <w:szCs w:val="24"/>
              </w:rPr>
            </w:pPr>
            <w:r>
              <w:rPr>
                <w:rFonts w:hint="eastAsia" w:ascii="宋体" w:hAnsi="宋体" w:cs="宋体"/>
                <w:kern w:val="0"/>
                <w:sz w:val="24"/>
                <w:szCs w:val="24"/>
              </w:rPr>
              <w:t>序号</w:t>
            </w:r>
          </w:p>
        </w:tc>
        <w:tc>
          <w:tcPr>
            <w:tcW w:w="143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报到时间</w:t>
            </w:r>
          </w:p>
        </w:tc>
        <w:tc>
          <w:tcPr>
            <w:tcW w:w="1849"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培训时间</w:t>
            </w:r>
          </w:p>
        </w:tc>
        <w:tc>
          <w:tcPr>
            <w:tcW w:w="1454" w:type="dxa"/>
            <w:tcBorders>
              <w:top w:val="single" w:color="000000" w:sz="6" w:space="0"/>
              <w:left w:val="single" w:color="000000" w:sz="6" w:space="0"/>
              <w:bottom w:val="single" w:color="000000" w:sz="6" w:space="0"/>
              <w:right w:val="single" w:color="000000" w:sz="6" w:space="0"/>
            </w:tcBorders>
          </w:tcPr>
          <w:p>
            <w:pPr>
              <w:widowControl/>
              <w:jc w:val="center"/>
              <w:rPr>
                <w:rFonts w:ascii="宋体" w:hAnsi="宋体" w:cs="宋体"/>
                <w:kern w:val="0"/>
                <w:sz w:val="24"/>
                <w:szCs w:val="24"/>
              </w:rPr>
            </w:pPr>
            <w:r>
              <w:rPr>
                <w:rFonts w:hint="eastAsia" w:ascii="宋体" w:hAnsi="宋体" w:cs="宋体"/>
                <w:kern w:val="0"/>
                <w:sz w:val="24"/>
                <w:szCs w:val="24"/>
              </w:rPr>
              <w:t>返程时间</w:t>
            </w:r>
          </w:p>
        </w:tc>
        <w:tc>
          <w:tcPr>
            <w:tcW w:w="1018" w:type="dxa"/>
            <w:tcBorders>
              <w:top w:val="single" w:color="000000" w:sz="6" w:space="0"/>
              <w:left w:val="single" w:color="000000" w:sz="6" w:space="0"/>
              <w:bottom w:val="single" w:color="000000" w:sz="6" w:space="0"/>
              <w:right w:val="single" w:color="000000" w:sz="6" w:space="0"/>
            </w:tcBorders>
          </w:tcPr>
          <w:p>
            <w:pPr>
              <w:widowControl/>
              <w:jc w:val="center"/>
              <w:rPr>
                <w:rFonts w:ascii="宋体" w:hAnsi="宋体" w:cs="宋体"/>
                <w:kern w:val="0"/>
                <w:sz w:val="24"/>
                <w:szCs w:val="24"/>
              </w:rPr>
            </w:pPr>
            <w:r>
              <w:rPr>
                <w:rFonts w:hint="eastAsia" w:ascii="宋体" w:hAnsi="宋体" w:cs="宋体"/>
                <w:kern w:val="0"/>
                <w:sz w:val="24"/>
                <w:szCs w:val="24"/>
              </w:rPr>
              <w:t>地点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jc w:val="center"/>
        </w:trPr>
        <w:tc>
          <w:tcPr>
            <w:tcW w:w="1411" w:type="dxa"/>
            <w:tcBorders>
              <w:top w:val="single" w:color="000000" w:sz="6" w:space="0"/>
              <w:left w:val="single" w:color="000000" w:sz="6" w:space="0"/>
              <w:bottom w:val="single" w:color="000000" w:sz="6" w:space="0"/>
              <w:right w:val="single" w:color="000000" w:sz="6" w:space="0"/>
            </w:tcBorders>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总第1期</w:t>
            </w:r>
          </w:p>
        </w:tc>
        <w:tc>
          <w:tcPr>
            <w:tcW w:w="1431"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1月16日</w:t>
            </w:r>
          </w:p>
        </w:tc>
        <w:tc>
          <w:tcPr>
            <w:tcW w:w="184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1月17日-19日</w:t>
            </w:r>
          </w:p>
        </w:tc>
        <w:tc>
          <w:tcPr>
            <w:tcW w:w="1454"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1月20日</w:t>
            </w:r>
          </w:p>
        </w:tc>
        <w:tc>
          <w:tcPr>
            <w:tcW w:w="101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海口</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jc w:val="center"/>
        </w:trPr>
        <w:tc>
          <w:tcPr>
            <w:tcW w:w="1411" w:type="dxa"/>
            <w:tcBorders>
              <w:top w:val="single" w:color="000000" w:sz="6" w:space="0"/>
              <w:left w:val="single" w:color="000000" w:sz="6" w:space="0"/>
              <w:bottom w:val="single" w:color="000000" w:sz="6" w:space="0"/>
              <w:right w:val="single" w:color="000000" w:sz="6" w:space="0"/>
            </w:tcBorders>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总第2期</w:t>
            </w:r>
          </w:p>
        </w:tc>
        <w:tc>
          <w:tcPr>
            <w:tcW w:w="1431"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5月19日</w:t>
            </w:r>
          </w:p>
        </w:tc>
        <w:tc>
          <w:tcPr>
            <w:tcW w:w="184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5月20日-22日</w:t>
            </w:r>
          </w:p>
        </w:tc>
        <w:tc>
          <w:tcPr>
            <w:tcW w:w="1454"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5月23日</w:t>
            </w:r>
          </w:p>
        </w:tc>
        <w:tc>
          <w:tcPr>
            <w:tcW w:w="101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北京</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jc w:val="center"/>
        </w:trPr>
        <w:tc>
          <w:tcPr>
            <w:tcW w:w="1411" w:type="dxa"/>
            <w:tcBorders>
              <w:top w:val="single" w:color="000000" w:sz="6" w:space="0"/>
              <w:left w:val="single" w:color="000000" w:sz="6" w:space="0"/>
              <w:bottom w:val="single" w:color="000000" w:sz="6" w:space="0"/>
              <w:right w:val="single" w:color="000000" w:sz="6" w:space="0"/>
            </w:tcBorders>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总第3期</w:t>
            </w:r>
          </w:p>
        </w:tc>
        <w:tc>
          <w:tcPr>
            <w:tcW w:w="1431"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8月11日</w:t>
            </w:r>
          </w:p>
        </w:tc>
        <w:tc>
          <w:tcPr>
            <w:tcW w:w="184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8月12日-14日</w:t>
            </w:r>
          </w:p>
        </w:tc>
        <w:tc>
          <w:tcPr>
            <w:tcW w:w="1454"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8月15日</w:t>
            </w:r>
          </w:p>
        </w:tc>
        <w:tc>
          <w:tcPr>
            <w:tcW w:w="101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北京</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jc w:val="center"/>
        </w:trPr>
        <w:tc>
          <w:tcPr>
            <w:tcW w:w="1411" w:type="dxa"/>
            <w:tcBorders>
              <w:top w:val="single" w:color="000000" w:sz="6" w:space="0"/>
              <w:left w:val="single" w:color="000000" w:sz="6" w:space="0"/>
              <w:bottom w:val="single" w:color="000000" w:sz="6" w:space="0"/>
              <w:right w:val="single" w:color="000000" w:sz="6" w:space="0"/>
            </w:tcBorders>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总第4期</w:t>
            </w:r>
          </w:p>
        </w:tc>
        <w:tc>
          <w:tcPr>
            <w:tcW w:w="1431"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11月13日</w:t>
            </w:r>
          </w:p>
        </w:tc>
        <w:tc>
          <w:tcPr>
            <w:tcW w:w="184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11月14日-16日</w:t>
            </w:r>
          </w:p>
        </w:tc>
        <w:tc>
          <w:tcPr>
            <w:tcW w:w="1454"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11月17日</w:t>
            </w:r>
          </w:p>
        </w:tc>
        <w:tc>
          <w:tcPr>
            <w:tcW w:w="101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北京</w:t>
            </w:r>
          </w:p>
        </w:tc>
      </w:tr>
    </w:tbl>
    <w:p>
      <w:pPr>
        <w:pStyle w:val="8"/>
        <w:spacing w:beforeLines="50" w:line="360" w:lineRule="exact"/>
        <w:rPr>
          <w:rFonts w:ascii="宋体" w:hAnsi="宋体"/>
          <w:b/>
          <w:sz w:val="24"/>
          <w:szCs w:val="24"/>
        </w:rPr>
      </w:pPr>
      <w:r>
        <w:rPr>
          <w:rFonts w:hint="eastAsia" w:ascii="宋体" w:hAnsi="宋体"/>
          <w:b/>
          <w:sz w:val="24"/>
          <w:szCs w:val="24"/>
        </w:rPr>
        <w:t>七</w:t>
      </w:r>
      <w:r>
        <w:rPr>
          <w:rFonts w:ascii="宋体" w:hAnsi="宋体"/>
          <w:b/>
          <w:sz w:val="24"/>
          <w:szCs w:val="24"/>
        </w:rPr>
        <w:t>、</w:t>
      </w:r>
      <w:r>
        <w:rPr>
          <w:rFonts w:hint="eastAsia" w:ascii="宋体" w:hAnsi="宋体"/>
          <w:b/>
          <w:sz w:val="24"/>
          <w:szCs w:val="24"/>
        </w:rPr>
        <w:t>结业证书</w:t>
      </w:r>
    </w:p>
    <w:p>
      <w:pPr>
        <w:widowControl/>
        <w:spacing w:line="360" w:lineRule="auto"/>
        <w:ind w:firstLine="480"/>
        <w:jc w:val="left"/>
        <w:rPr>
          <w:rFonts w:ascii="宋体" w:hAnsi="宋体" w:cs="宋体"/>
          <w:kern w:val="0"/>
          <w:sz w:val="24"/>
          <w:szCs w:val="24"/>
        </w:rPr>
      </w:pPr>
      <w:r>
        <w:rPr>
          <w:rFonts w:hint="eastAsia" w:ascii="宋体" w:hAnsi="宋体" w:cs="宋体"/>
          <w:kern w:val="0"/>
          <w:sz w:val="24"/>
          <w:szCs w:val="24"/>
        </w:rPr>
        <w:t>完成全部学习后，获得由北京国家会计学院颁发的电子版结业证书。</w:t>
      </w:r>
    </w:p>
    <w:p>
      <w:pPr>
        <w:pStyle w:val="8"/>
        <w:spacing w:beforeLines="50" w:line="360" w:lineRule="exact"/>
        <w:rPr>
          <w:rFonts w:ascii="宋体" w:hAnsi="宋体"/>
          <w:b/>
          <w:sz w:val="24"/>
          <w:szCs w:val="24"/>
        </w:rPr>
      </w:pPr>
      <w:r>
        <w:rPr>
          <w:rFonts w:hint="eastAsia" w:ascii="宋体" w:hAnsi="宋体"/>
          <w:b/>
          <w:sz w:val="24"/>
          <w:szCs w:val="24"/>
        </w:rPr>
        <w:t>八</w:t>
      </w:r>
      <w:r>
        <w:rPr>
          <w:rFonts w:ascii="宋体" w:hAnsi="宋体"/>
          <w:b/>
          <w:sz w:val="24"/>
          <w:szCs w:val="24"/>
        </w:rPr>
        <w:t>、收费标准</w:t>
      </w:r>
    </w:p>
    <w:p>
      <w:pPr>
        <w:widowControl/>
        <w:spacing w:line="360" w:lineRule="auto"/>
        <w:ind w:firstLine="480"/>
        <w:jc w:val="left"/>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培训</w:t>
      </w:r>
      <w:r>
        <w:rPr>
          <w:rFonts w:ascii="宋体" w:hAnsi="宋体" w:cs="宋体"/>
          <w:kern w:val="0"/>
          <w:sz w:val="24"/>
          <w:szCs w:val="24"/>
        </w:rPr>
        <w:t>费：</w:t>
      </w:r>
      <w:r>
        <w:rPr>
          <w:rFonts w:hint="eastAsia" w:ascii="宋体" w:hAnsi="宋体" w:cs="宋体"/>
          <w:kern w:val="0"/>
          <w:sz w:val="24"/>
          <w:szCs w:val="24"/>
        </w:rPr>
        <w:t>58</w:t>
      </w:r>
      <w:r>
        <w:rPr>
          <w:rFonts w:ascii="宋体" w:hAnsi="宋体" w:cs="宋体"/>
          <w:kern w:val="0"/>
          <w:sz w:val="24"/>
          <w:szCs w:val="24"/>
        </w:rPr>
        <w:t xml:space="preserve">00元/人， </w:t>
      </w:r>
    </w:p>
    <w:p>
      <w:pPr>
        <w:widowControl/>
        <w:spacing w:line="360" w:lineRule="auto"/>
        <w:ind w:firstLine="480"/>
        <w:jc w:val="left"/>
        <w:rPr>
          <w:rFonts w:ascii="宋体" w:hAnsi="宋体" w:cs="宋体"/>
          <w:kern w:val="0"/>
          <w:sz w:val="24"/>
          <w:szCs w:val="24"/>
        </w:rPr>
      </w:pPr>
      <w:r>
        <w:rPr>
          <w:rFonts w:hint="eastAsia" w:ascii="宋体" w:hAnsi="宋体" w:cs="宋体"/>
          <w:kern w:val="0"/>
          <w:sz w:val="24"/>
          <w:szCs w:val="24"/>
        </w:rPr>
        <w:t>2.在北京国家会计学院举办的培训可提供食宿。就餐为自助餐，收费标准为120元/人天。住宿条件为单人标准间，收费标准普通间340元/人天，商务间550元/人天，新商务间650元/人天（住宿费用含游泳、健身、净娱乐、宽带上网等费用），在京外举办的培训由当地酒店提供食宿，统一安排，费用自理。</w:t>
      </w:r>
    </w:p>
    <w:p>
      <w:pPr>
        <w:widowControl/>
        <w:spacing w:line="360" w:lineRule="auto"/>
        <w:ind w:firstLine="480"/>
        <w:jc w:val="left"/>
        <w:rPr>
          <w:rFonts w:ascii="宋体" w:hAnsi="宋体" w:cs="宋体"/>
          <w:kern w:val="0"/>
          <w:sz w:val="24"/>
          <w:szCs w:val="24"/>
        </w:rPr>
      </w:pPr>
      <w:r>
        <w:rPr>
          <w:rFonts w:hint="eastAsia" w:ascii="宋体" w:hAnsi="宋体" w:cs="宋体"/>
          <w:kern w:val="0"/>
          <w:sz w:val="24"/>
          <w:szCs w:val="24"/>
        </w:rPr>
        <w:t>3.缴费方式：</w:t>
      </w:r>
    </w:p>
    <w:p>
      <w:pPr>
        <w:widowControl/>
        <w:spacing w:line="360" w:lineRule="auto"/>
        <w:ind w:firstLine="480"/>
        <w:jc w:val="left"/>
        <w:rPr>
          <w:rFonts w:ascii="宋体" w:hAnsi="宋体" w:cs="宋体"/>
          <w:kern w:val="0"/>
          <w:sz w:val="24"/>
          <w:szCs w:val="24"/>
        </w:rPr>
      </w:pPr>
      <w:r>
        <w:rPr>
          <w:rFonts w:hint="eastAsia" w:ascii="宋体" w:hAnsi="宋体" w:cs="宋体"/>
          <w:kern w:val="0"/>
          <w:sz w:val="24"/>
          <w:szCs w:val="24"/>
        </w:rPr>
        <w:t>（1）报到时现场扫码支付或手机银行转账；</w:t>
      </w:r>
    </w:p>
    <w:p>
      <w:pPr>
        <w:widowControl/>
        <w:spacing w:line="360" w:lineRule="auto"/>
        <w:ind w:firstLine="480"/>
        <w:jc w:val="left"/>
        <w:rPr>
          <w:rFonts w:ascii="宋体" w:hAnsi="宋体" w:cs="宋体"/>
          <w:kern w:val="0"/>
          <w:sz w:val="24"/>
          <w:szCs w:val="24"/>
        </w:rPr>
      </w:pPr>
      <w:r>
        <w:rPr>
          <w:rFonts w:hint="eastAsia" w:ascii="宋体" w:hAnsi="宋体" w:cs="宋体"/>
          <w:kern w:val="0"/>
          <w:sz w:val="24"/>
          <w:szCs w:val="24"/>
        </w:rPr>
        <w:t>（2）银行汇款（培训费可汇款，食宿费需当场缴纳现金）：</w:t>
      </w:r>
    </w:p>
    <w:p>
      <w:pPr>
        <w:widowControl/>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单位名称：北京国家会计学院</w:t>
      </w:r>
    </w:p>
    <w:p>
      <w:pPr>
        <w:widowControl/>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开户行：中国建设银行北京天竺支行（201）</w:t>
      </w:r>
    </w:p>
    <w:p>
      <w:pPr>
        <w:widowControl/>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账号：1100 1020 1000 5603 0985</w:t>
      </w:r>
    </w:p>
    <w:p>
      <w:pPr>
        <w:widowControl/>
        <w:spacing w:line="360" w:lineRule="auto"/>
        <w:ind w:firstLine="964" w:firstLineChars="400"/>
        <w:jc w:val="left"/>
        <w:rPr>
          <w:rFonts w:hint="eastAsia" w:ascii="宋体" w:hAnsi="宋体" w:cs="宋体"/>
          <w:b/>
          <w:kern w:val="0"/>
          <w:sz w:val="24"/>
          <w:szCs w:val="24"/>
        </w:rPr>
      </w:pPr>
    </w:p>
    <w:p>
      <w:pPr>
        <w:widowControl/>
        <w:spacing w:line="360" w:lineRule="auto"/>
        <w:ind w:firstLine="964" w:firstLineChars="400"/>
        <w:jc w:val="left"/>
        <w:rPr>
          <w:rFonts w:ascii="宋体" w:hAnsi="宋体" w:cs="宋体"/>
          <w:b/>
          <w:kern w:val="0"/>
          <w:sz w:val="24"/>
          <w:szCs w:val="24"/>
        </w:rPr>
      </w:pPr>
    </w:p>
    <w:p>
      <w:pPr>
        <w:spacing w:line="440" w:lineRule="exact"/>
        <w:jc w:val="right"/>
        <w:rPr>
          <w:rFonts w:ascii="宋体" w:hAnsi="宋体"/>
          <w:sz w:val="24"/>
          <w:szCs w:val="24"/>
        </w:rPr>
      </w:pPr>
      <w:r>
        <w:rPr>
          <w:rFonts w:hint="eastAsia" w:ascii="宋体" w:hAnsi="宋体"/>
          <w:sz w:val="24"/>
          <w:szCs w:val="24"/>
        </w:rPr>
        <w:t>北京国家会计学院教务部</w:t>
      </w:r>
    </w:p>
    <w:p>
      <w:pPr>
        <w:wordWrap w:val="0"/>
        <w:spacing w:line="440" w:lineRule="exact"/>
        <w:jc w:val="right"/>
        <w:rPr>
          <w:rFonts w:ascii="宋体" w:hAnsi="宋体"/>
          <w:sz w:val="24"/>
          <w:szCs w:val="24"/>
        </w:rPr>
      </w:pPr>
      <w:r>
        <w:rPr>
          <w:rFonts w:hint="eastAsia" w:ascii="宋体" w:hAnsi="宋体"/>
          <w:sz w:val="24"/>
          <w:szCs w:val="24"/>
        </w:rPr>
        <w:t xml:space="preserve">2023年12月    </w:t>
      </w:r>
    </w:p>
    <w:p>
      <w:pPr>
        <w:spacing w:line="440" w:lineRule="exact"/>
        <w:rPr>
          <w:rFonts w:hint="eastAsia" w:ascii="宋体" w:hAnsi="宋体"/>
          <w:sz w:val="24"/>
          <w:szCs w:val="24"/>
        </w:rPr>
      </w:pPr>
    </w:p>
    <w:p>
      <w:pPr>
        <w:spacing w:line="440" w:lineRule="exact"/>
        <w:rPr>
          <w:rFonts w:hint="eastAsia" w:ascii="宋体" w:hAnsi="宋体"/>
          <w:sz w:val="24"/>
          <w:szCs w:val="24"/>
        </w:rPr>
      </w:pPr>
    </w:p>
    <w:p>
      <w:pPr>
        <w:spacing w:line="440" w:lineRule="exact"/>
        <w:rPr>
          <w:rFonts w:ascii="宋体" w:hAnsi="宋体"/>
          <w:sz w:val="24"/>
          <w:szCs w:val="24"/>
        </w:rPr>
      </w:pPr>
    </w:p>
    <w:p>
      <w:pPr>
        <w:spacing w:line="440" w:lineRule="exact"/>
        <w:jc w:val="center"/>
        <w:rPr>
          <w:rFonts w:ascii="宋体" w:hAnsi="宋体" w:cs="宋体"/>
          <w:b/>
          <w:bCs/>
          <w:kern w:val="0"/>
          <w:sz w:val="30"/>
          <w:szCs w:val="30"/>
        </w:rPr>
      </w:pPr>
      <w:r>
        <w:rPr>
          <w:rFonts w:hint="eastAsia" w:ascii="宋体" w:hAnsi="宋体" w:cs="宋体"/>
          <w:b/>
          <w:bCs/>
          <w:kern w:val="0"/>
          <w:sz w:val="30"/>
          <w:szCs w:val="30"/>
        </w:rPr>
        <w:t>2024</w:t>
      </w:r>
      <w:r>
        <w:rPr>
          <w:rFonts w:hint="eastAsia" w:ascii="宋体" w:hAnsi="宋体" w:cs="宋体"/>
          <w:b/>
          <w:bCs/>
          <w:kern w:val="0"/>
          <w:sz w:val="30"/>
          <w:szCs w:val="30"/>
          <w:lang w:eastAsia="zh-CN"/>
        </w:rPr>
        <w:t>年</w:t>
      </w:r>
      <w:r>
        <w:rPr>
          <w:rFonts w:hint="eastAsia" w:ascii="宋体" w:hAnsi="宋体" w:cs="宋体"/>
          <w:b/>
          <w:bCs/>
          <w:kern w:val="0"/>
          <w:sz w:val="30"/>
          <w:szCs w:val="30"/>
        </w:rPr>
        <w:t>《战略导向下全面预算管理与绩效体系》高级研修班</w:t>
      </w:r>
    </w:p>
    <w:p>
      <w:pPr>
        <w:spacing w:line="440" w:lineRule="exact"/>
        <w:jc w:val="center"/>
        <w:rPr>
          <w:rFonts w:ascii="宋体" w:hAnsi="宋体" w:cs="宋体"/>
          <w:b/>
          <w:sz w:val="28"/>
          <w:szCs w:val="28"/>
        </w:rPr>
      </w:pPr>
      <w:r>
        <w:rPr>
          <w:rFonts w:hint="eastAsia" w:ascii="宋体" w:hAnsi="宋体" w:cs="宋体"/>
          <w:b/>
          <w:sz w:val="28"/>
          <w:szCs w:val="28"/>
        </w:rPr>
        <w:t>报名回执表</w:t>
      </w:r>
    </w:p>
    <w:tbl>
      <w:tblPr>
        <w:tblStyle w:val="4"/>
        <w:tblpPr w:leftFromText="180" w:rightFromText="180" w:vertAnchor="text" w:horzAnchor="page" w:tblpX="1455" w:tblpY="156"/>
        <w:tblOverlap w:val="never"/>
        <w:tblW w:w="9302"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135"/>
        <w:gridCol w:w="555"/>
        <w:gridCol w:w="630"/>
        <w:gridCol w:w="855"/>
        <w:gridCol w:w="1315"/>
        <w:gridCol w:w="580"/>
        <w:gridCol w:w="1785"/>
        <w:gridCol w:w="75"/>
        <w:gridCol w:w="2372"/>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58"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before="156" w:after="156"/>
              <w:rPr>
                <w:rFonts w:ascii="Arial" w:hAnsi="宋体"/>
                <w:color w:val="58595B"/>
                <w:szCs w:val="21"/>
              </w:rPr>
            </w:pPr>
            <w:r>
              <w:rPr>
                <w:rFonts w:hint="eastAsia" w:hAnsi="宋体"/>
                <w:b/>
                <w:color w:val="000000"/>
                <w:szCs w:val="21"/>
              </w:rPr>
              <w:t>单位名称</w:t>
            </w:r>
          </w:p>
        </w:tc>
        <w:tc>
          <w:tcPr>
            <w:tcW w:w="3935"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jc w:val="center"/>
              <w:rPr>
                <w:rFonts w:ascii="Arial" w:hAnsi="宋体"/>
                <w:color w:val="58595B"/>
                <w:szCs w:val="21"/>
              </w:rPr>
            </w:pPr>
            <w:r>
              <w:rPr>
                <w:rFonts w:hAnsi="宋体"/>
                <w:b/>
                <w:color w:val="000000"/>
                <w:szCs w:val="21"/>
              </w:rPr>
              <w:t xml:space="preserve"> </w:t>
            </w:r>
          </w:p>
        </w:tc>
        <w:tc>
          <w:tcPr>
            <w:tcW w:w="17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jc w:val="center"/>
              <w:rPr>
                <w:rFonts w:ascii="Arial" w:hAnsi="宋体"/>
                <w:color w:val="58595B"/>
                <w:szCs w:val="21"/>
              </w:rPr>
            </w:pPr>
            <w:r>
              <w:rPr>
                <w:rFonts w:hint="eastAsia" w:hAnsi="宋体"/>
                <w:b/>
                <w:color w:val="000000"/>
                <w:szCs w:val="21"/>
              </w:rPr>
              <w:t>传真号码</w:t>
            </w:r>
          </w:p>
        </w:tc>
        <w:tc>
          <w:tcPr>
            <w:tcW w:w="244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jc w:val="center"/>
              <w:rPr>
                <w:rFonts w:ascii="Arial" w:hAnsi="宋体"/>
                <w:color w:val="58595B"/>
                <w:szCs w:val="21"/>
              </w:rPr>
            </w:pPr>
            <w:r>
              <w:rPr>
                <w:rFonts w:hAnsi="宋体"/>
                <w:b/>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80"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ascii="Arial" w:hAnsi="宋体"/>
                <w:color w:val="58595B"/>
                <w:szCs w:val="21"/>
              </w:rPr>
            </w:pPr>
            <w:r>
              <w:rPr>
                <w:rFonts w:hAnsi="宋体"/>
                <w:b/>
                <w:color w:val="000000"/>
                <w:szCs w:val="21"/>
              </w:rPr>
              <w:t>联系人</w:t>
            </w:r>
          </w:p>
        </w:tc>
        <w:tc>
          <w:tcPr>
            <w:tcW w:w="118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Arial" w:hAnsi="宋体"/>
                <w:color w:val="58595B"/>
                <w:szCs w:val="21"/>
              </w:rPr>
            </w:pPr>
            <w:r>
              <w:rPr>
                <w:rFonts w:hAnsi="宋体"/>
                <w:b/>
                <w:color w:val="000000"/>
                <w:spacing w:val="-26"/>
                <w:szCs w:val="21"/>
              </w:rPr>
              <w:t xml:space="preserve"> </w:t>
            </w:r>
          </w:p>
        </w:tc>
        <w:tc>
          <w:tcPr>
            <w:tcW w:w="275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Arial" w:hAnsi="宋体"/>
                <w:color w:val="58595B"/>
                <w:szCs w:val="21"/>
              </w:rPr>
            </w:pPr>
            <w:r>
              <w:rPr>
                <w:rFonts w:hAnsi="宋体"/>
                <w:b/>
                <w:color w:val="000000"/>
                <w:szCs w:val="21"/>
              </w:rPr>
              <w:t>联系方式</w:t>
            </w:r>
          </w:p>
        </w:tc>
        <w:tc>
          <w:tcPr>
            <w:tcW w:w="423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ascii="Arial" w:hAnsi="宋体"/>
                <w:color w:val="58595B"/>
                <w:szCs w:val="21"/>
              </w:rPr>
            </w:pPr>
            <w:r>
              <w:rPr>
                <w:rFonts w:hAnsi="宋体"/>
                <w:b/>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16"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rPr>
                <w:rFonts w:hAnsi="宋体"/>
                <w:b/>
                <w:color w:val="000000"/>
                <w:szCs w:val="21"/>
              </w:rPr>
            </w:pPr>
            <w:r>
              <w:rPr>
                <w:rFonts w:hint="eastAsia" w:hAnsi="宋体"/>
                <w:b/>
                <w:color w:val="000000"/>
                <w:szCs w:val="21"/>
              </w:rPr>
              <w:t>学员姓名</w:t>
            </w:r>
          </w:p>
        </w:tc>
        <w:tc>
          <w:tcPr>
            <w:tcW w:w="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r>
              <w:rPr>
                <w:rFonts w:hAnsi="宋体"/>
                <w:b/>
                <w:color w:val="000000"/>
                <w:spacing w:val="-26"/>
                <w:szCs w:val="21"/>
              </w:rPr>
              <w:t>性别</w:t>
            </w:r>
          </w:p>
        </w:tc>
        <w:tc>
          <w:tcPr>
            <w:tcW w:w="6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r>
              <w:rPr>
                <w:rFonts w:hAnsi="宋体"/>
                <w:b/>
                <w:color w:val="000000"/>
                <w:spacing w:val="-26"/>
                <w:szCs w:val="21"/>
              </w:rPr>
              <w:t>部门</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r>
              <w:rPr>
                <w:rFonts w:hAnsi="宋体"/>
                <w:b/>
                <w:color w:val="000000"/>
                <w:szCs w:val="21"/>
              </w:rPr>
              <w:t xml:space="preserve">职务 </w:t>
            </w:r>
          </w:p>
        </w:tc>
        <w:tc>
          <w:tcPr>
            <w:tcW w:w="18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r>
              <w:rPr>
                <w:rFonts w:hAnsi="宋体"/>
                <w:b/>
                <w:color w:val="000000"/>
                <w:szCs w:val="21"/>
              </w:rPr>
              <w:t xml:space="preserve">联系电话 </w:t>
            </w: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r>
              <w:rPr>
                <w:rFonts w:hAnsi="宋体"/>
                <w:b/>
                <w:color w:val="000000"/>
                <w:szCs w:val="21"/>
              </w:rPr>
              <w:t>手机号码</w:t>
            </w: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b/>
                <w:color w:val="000000"/>
                <w:szCs w:val="21"/>
              </w:rPr>
            </w:pPr>
            <w:r>
              <w:rPr>
                <w:rFonts w:hAnsi="宋体"/>
                <w:b/>
                <w:color w:val="000000"/>
                <w:szCs w:val="21"/>
              </w:rPr>
              <w:t>电子邮箱</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ascii="Arial" w:hAnsi="宋体"/>
                <w:color w:val="58595B"/>
                <w:szCs w:val="21"/>
              </w:rPr>
            </w:pPr>
            <w:r>
              <w:rPr>
                <w:rFonts w:hAnsi="宋体"/>
                <w:b/>
                <w:color w:val="000000"/>
                <w:szCs w:val="21"/>
              </w:rPr>
              <w:t xml:space="preserve"> </w:t>
            </w:r>
          </w:p>
        </w:tc>
        <w:tc>
          <w:tcPr>
            <w:tcW w:w="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Arial" w:hAnsi="宋体"/>
                <w:color w:val="58595B"/>
                <w:szCs w:val="21"/>
              </w:rPr>
            </w:pPr>
            <w:r>
              <w:rPr>
                <w:rFonts w:hAnsi="宋体"/>
                <w:b/>
                <w:color w:val="000000"/>
                <w:spacing w:val="-26"/>
                <w:szCs w:val="21"/>
              </w:rPr>
              <w:t xml:space="preserve"> </w:t>
            </w:r>
          </w:p>
        </w:tc>
        <w:tc>
          <w:tcPr>
            <w:tcW w:w="6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Arial" w:hAnsi="宋体"/>
                <w:color w:val="58595B"/>
                <w:szCs w:val="21"/>
              </w:rPr>
            </w:pPr>
            <w:r>
              <w:rPr>
                <w:rFonts w:hAnsi="宋体"/>
                <w:b/>
                <w:color w:val="000000"/>
                <w:spacing w:val="-26"/>
                <w:szCs w:val="21"/>
              </w:rPr>
              <w:t xml:space="preserve"> </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Arial" w:hAnsi="宋体"/>
                <w:color w:val="58595B"/>
                <w:szCs w:val="21"/>
              </w:rPr>
            </w:pPr>
            <w:r>
              <w:rPr>
                <w:rFonts w:hAnsi="宋体"/>
                <w:b/>
                <w:color w:val="000000"/>
                <w:szCs w:val="21"/>
              </w:rPr>
              <w:t xml:space="preserve"> </w:t>
            </w:r>
          </w:p>
        </w:tc>
        <w:tc>
          <w:tcPr>
            <w:tcW w:w="18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Arial" w:hAnsi="宋体"/>
                <w:color w:val="58595B"/>
                <w:szCs w:val="21"/>
              </w:rPr>
            </w:pPr>
            <w:r>
              <w:rPr>
                <w:rFonts w:hAnsi="宋体"/>
                <w:b/>
                <w:color w:val="000000"/>
                <w:szCs w:val="21"/>
              </w:rPr>
              <w:t xml:space="preserve"> </w:t>
            </w: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Arial" w:hAnsi="宋体"/>
                <w:color w:val="58595B"/>
                <w:szCs w:val="21"/>
              </w:rPr>
            </w:pPr>
            <w:r>
              <w:rPr>
                <w:rFonts w:hAnsi="宋体"/>
                <w:b/>
                <w:color w:val="000000"/>
                <w:szCs w:val="21"/>
              </w:rPr>
              <w:t xml:space="preserve"> </w:t>
            </w: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ascii="Arial" w:hAnsi="宋体"/>
                <w:color w:val="58595B"/>
                <w:szCs w:val="21"/>
              </w:rPr>
            </w:pPr>
            <w:r>
              <w:rPr>
                <w:rFonts w:hAnsi="宋体"/>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6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6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6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6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6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6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6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6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r>
              <w:rPr>
                <w:rFonts w:hint="eastAsia" w:hAnsi="宋体"/>
                <w:b/>
                <w:color w:val="000000"/>
                <w:szCs w:val="21"/>
              </w:rPr>
              <w:t>课程选择</w:t>
            </w:r>
          </w:p>
        </w:tc>
        <w:tc>
          <w:tcPr>
            <w:tcW w:w="8167"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b/>
                <w:color w:val="000000"/>
                <w:szCs w:val="21"/>
              </w:rPr>
            </w:pPr>
            <w:r>
              <w:rPr>
                <w:rFonts w:hint="eastAsia"/>
              </w:rPr>
              <w:t>开班时间：</w:t>
            </w:r>
            <w:r>
              <w:rPr>
                <w:rFonts w:hint="eastAsia"/>
                <w:u w:val="single"/>
              </w:rPr>
              <w:t xml:space="preserve"> </w:t>
            </w:r>
            <w:r>
              <w:rPr>
                <w:u w:val="single"/>
              </w:rPr>
              <w:t xml:space="preserve">       </w:t>
            </w:r>
            <w:r>
              <w:rPr>
                <w:rFonts w:hint="eastAsia"/>
              </w:rPr>
              <w:t>月；期数：第</w:t>
            </w:r>
            <w:r>
              <w:rPr>
                <w:rFonts w:hint="eastAsia"/>
                <w:u w:val="single"/>
              </w:rPr>
              <w:t xml:space="preserve"> </w:t>
            </w:r>
            <w:r>
              <w:rPr>
                <w:u w:val="single"/>
              </w:rPr>
              <w:t xml:space="preserve">      </w:t>
            </w:r>
            <w:r>
              <w:rPr>
                <w:rFonts w:hint="eastAsia"/>
              </w:rPr>
              <w:t>期（请在横线中填写）</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665" w:hRule="atLeast"/>
        </w:trPr>
        <w:tc>
          <w:tcPr>
            <w:tcW w:w="4490"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b/>
                <w:kern w:val="0"/>
              </w:rPr>
            </w:pPr>
            <w:r>
              <w:rPr>
                <w:rFonts w:hint="eastAsia"/>
                <w:b/>
                <w:kern w:val="0"/>
              </w:rPr>
              <w:t>报名程序：</w:t>
            </w:r>
          </w:p>
          <w:p>
            <w:pPr>
              <w:ind w:firstLine="420" w:firstLineChars="200"/>
              <w:rPr>
                <w:kern w:val="0"/>
              </w:rPr>
            </w:pPr>
            <w:r>
              <w:rPr>
                <w:rFonts w:hint="eastAsia"/>
                <w:kern w:val="0"/>
              </w:rPr>
              <w:t>请将报名回执表填写完整后发邮件至招生联系人，培训费报名后可电汇至北京国家会计学院或报到时交纳（可刷卡，发票报到时领取）,食宿费现场交纳。</w:t>
            </w:r>
          </w:p>
        </w:tc>
        <w:tc>
          <w:tcPr>
            <w:tcW w:w="4812"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b/>
                <w:kern w:val="0"/>
              </w:rPr>
            </w:pPr>
          </w:p>
          <w:p>
            <w:pPr>
              <w:rPr>
                <w:b/>
                <w:kern w:val="0"/>
              </w:rPr>
            </w:pPr>
            <w:r>
              <w:rPr>
                <w:rFonts w:hint="eastAsia"/>
                <w:b/>
                <w:kern w:val="0"/>
              </w:rPr>
              <w:t>请将培训费汇至以下账户：</w:t>
            </w:r>
            <w:r>
              <w:rPr>
                <w:b/>
                <w:kern w:val="0"/>
              </w:rPr>
              <w:t xml:space="preserve"> </w:t>
            </w:r>
          </w:p>
          <w:p>
            <w:pPr>
              <w:rPr>
                <w:kern w:val="0"/>
              </w:rPr>
            </w:pPr>
            <w:r>
              <w:rPr>
                <w:rFonts w:hint="eastAsia"/>
                <w:kern w:val="0"/>
              </w:rPr>
              <w:t>单位名称：北京国家会计学院</w:t>
            </w:r>
          </w:p>
          <w:p>
            <w:pPr>
              <w:rPr>
                <w:kern w:val="0"/>
              </w:rPr>
            </w:pPr>
            <w:r>
              <w:rPr>
                <w:rFonts w:hint="eastAsia"/>
                <w:kern w:val="0"/>
              </w:rPr>
              <w:t>开户行：中国建设银行北京天竺支行（</w:t>
            </w:r>
            <w:r>
              <w:rPr>
                <w:kern w:val="0"/>
              </w:rPr>
              <w:t>201</w:t>
            </w:r>
            <w:r>
              <w:rPr>
                <w:rFonts w:hint="eastAsia"/>
                <w:kern w:val="0"/>
              </w:rPr>
              <w:t>）</w:t>
            </w:r>
          </w:p>
          <w:p>
            <w:pPr>
              <w:rPr>
                <w:kern w:val="0"/>
                <w:sz w:val="22"/>
              </w:rPr>
            </w:pPr>
            <w:r>
              <w:rPr>
                <w:rFonts w:hint="eastAsia"/>
              </w:rPr>
              <w:t>账号：</w:t>
            </w:r>
            <w:r>
              <w:t>1100 1020 1000 5603 0985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357" w:hRule="atLeast"/>
        </w:trPr>
        <w:tc>
          <w:tcPr>
            <w:tcW w:w="9302" w:type="dxa"/>
            <w:gridSpan w:val="9"/>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b/>
                <w:sz w:val="24"/>
                <w:szCs w:val="24"/>
              </w:rPr>
            </w:pPr>
            <w:r>
              <w:rPr>
                <w:rFonts w:hint="eastAsia" w:ascii="宋体" w:hAnsi="宋体" w:cs="宋体"/>
                <w:b/>
                <w:sz w:val="24"/>
                <w:szCs w:val="24"/>
              </w:rPr>
              <w:t>报名咨询：</w:t>
            </w:r>
          </w:p>
          <w:p>
            <w:pPr>
              <w:spacing w:line="360" w:lineRule="auto"/>
              <w:rPr>
                <w:rFonts w:ascii="宋体" w:hAnsi="宋体" w:cs="宋体"/>
                <w:b/>
                <w:sz w:val="24"/>
                <w:szCs w:val="24"/>
              </w:rPr>
            </w:pPr>
            <w:r>
              <w:rPr>
                <w:rFonts w:hint="eastAsia" w:ascii="宋体" w:hAnsi="宋体" w:cs="宋体"/>
                <w:b/>
                <w:sz w:val="24"/>
                <w:szCs w:val="24"/>
              </w:rPr>
              <w:t>联系人：李老师         手机：15652426725(同微信)      QQ：2635131094</w:t>
            </w:r>
          </w:p>
          <w:p>
            <w:pPr>
              <w:tabs>
                <w:tab w:val="left" w:pos="360"/>
                <w:tab w:val="left" w:pos="540"/>
              </w:tabs>
              <w:autoSpaceDN w:val="0"/>
              <w:rPr>
                <w:rFonts w:ascii="宋体" w:hAnsi="宋体" w:cs="宋体"/>
                <w:b/>
                <w:color w:val="000000"/>
                <w:kern w:val="0"/>
                <w:szCs w:val="21"/>
              </w:rPr>
            </w:pPr>
            <w:r>
              <w:rPr>
                <w:rFonts w:hint="eastAsia" w:ascii="宋体" w:hAnsi="宋体" w:cs="宋体"/>
                <w:b/>
                <w:sz w:val="24"/>
                <w:szCs w:val="24"/>
              </w:rPr>
              <w:t>注：请将报名回执表填写完整回复到报名邮箱accountant_cfo@163.com</w:t>
            </w:r>
          </w:p>
        </w:tc>
      </w:tr>
    </w:tbl>
    <w:p>
      <w:pPr>
        <w:spacing w:line="20" w:lineRule="exact"/>
        <w:rPr>
          <w:rFonts w:ascii="宋体" w:hAnsi="宋体"/>
          <w:sz w:val="24"/>
          <w:szCs w:val="24"/>
        </w:rPr>
      </w:pPr>
    </w:p>
    <w:p>
      <w:pPr>
        <w:rPr>
          <w:rFonts w:ascii="宋体" w:hAnsi="宋体" w:cs="宋体"/>
          <w:b/>
          <w:bCs/>
          <w:kern w:val="0"/>
          <w:sz w:val="30"/>
          <w:szCs w:val="30"/>
        </w:rPr>
      </w:pP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360275"/>
    <w:rsid w:val="00152A22"/>
    <w:rsid w:val="00360275"/>
    <w:rsid w:val="003B16F2"/>
    <w:rsid w:val="00500620"/>
    <w:rsid w:val="00871BB0"/>
    <w:rsid w:val="009B0966"/>
    <w:rsid w:val="00B26ED7"/>
    <w:rsid w:val="00CB629B"/>
    <w:rsid w:val="04394BCA"/>
    <w:rsid w:val="43702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 w:type="paragraph" w:styleId="8">
    <w:name w:val="No Spacing"/>
    <w:qFormat/>
    <w:uiPriority w:val="1"/>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330</Words>
  <Characters>1882</Characters>
  <Lines>15</Lines>
  <Paragraphs>4</Paragraphs>
  <TotalTime>1</TotalTime>
  <ScaleCrop>false</ScaleCrop>
  <LinksUpToDate>false</LinksUpToDate>
  <CharactersWithSpaces>2208</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2023-11-30T05:46:00Z</dcterms:created>
  <dc:creator>David-Ding</dc:creator>
  <cp:lastModifiedBy>Gloria Wu</cp:lastModifiedBy>
  <dcterms:modified xsi:type="dcterms:W3CDTF">2023-12-29T06:19:33Z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45D3AC84E08D42A6B86C47B368F1BFA4_12</vt:lpwstr>
  </property>
</Properties>
</file>