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240"/>
        <w:jc w:val="center"/>
        <w:outlineLvl w:val="2"/>
        <w:rPr>
          <w:rFonts w:ascii="宋体" w:hAnsi="宋体" w:eastAsia="宋体" w:cs="宋体"/>
          <w:b/>
          <w:bCs/>
          <w:kern w:val="0"/>
          <w:sz w:val="30"/>
          <w:szCs w:val="30"/>
        </w:rPr>
      </w:pPr>
      <w:r>
        <w:rPr>
          <w:rFonts w:hint="eastAsia" w:ascii="宋体" w:hAnsi="宋体" w:eastAsia="宋体" w:cs="宋体"/>
          <w:b/>
          <w:bCs/>
          <w:kern w:val="0"/>
          <w:sz w:val="30"/>
          <w:szCs w:val="30"/>
          <w:lang w:eastAsia="zh-CN"/>
        </w:rPr>
        <w:t>“</w:t>
      </w:r>
      <w:r>
        <w:rPr>
          <w:rFonts w:hint="eastAsia" w:ascii="宋体" w:hAnsi="宋体" w:eastAsia="宋体" w:cs="宋体"/>
          <w:b/>
          <w:bCs/>
          <w:kern w:val="0"/>
          <w:sz w:val="30"/>
          <w:szCs w:val="30"/>
        </w:rPr>
        <w:t>智能共享平台的运营与决策支持</w:t>
      </w:r>
      <w:r>
        <w:rPr>
          <w:rFonts w:hint="eastAsia" w:ascii="宋体" w:hAnsi="宋体" w:eastAsia="宋体" w:cs="宋体"/>
          <w:b/>
          <w:bCs/>
          <w:kern w:val="0"/>
          <w:sz w:val="30"/>
          <w:szCs w:val="30"/>
          <w:lang w:eastAsia="zh-CN"/>
        </w:rPr>
        <w:t>”</w:t>
      </w:r>
      <w:r>
        <w:rPr>
          <w:rFonts w:hint="eastAsia" w:ascii="宋体" w:hAnsi="宋体" w:eastAsia="宋体" w:cs="宋体"/>
          <w:b/>
          <w:bCs/>
          <w:kern w:val="0"/>
          <w:sz w:val="30"/>
          <w:szCs w:val="30"/>
        </w:rPr>
        <w:t>高级研修班</w:t>
      </w:r>
    </w:p>
    <w:p>
      <w:pPr>
        <w:pStyle w:val="11"/>
        <w:spacing w:beforeLines="50" w:line="360" w:lineRule="exact"/>
        <w:rPr>
          <w:rFonts w:ascii="仿宋" w:hAnsi="仿宋" w:eastAsia="仿宋"/>
          <w:b/>
          <w:sz w:val="28"/>
          <w:szCs w:val="28"/>
        </w:rPr>
      </w:pPr>
      <w:r>
        <w:rPr>
          <w:rFonts w:hint="eastAsia" w:ascii="仿宋" w:hAnsi="仿宋" w:eastAsia="仿宋"/>
          <w:b/>
          <w:sz w:val="28"/>
          <w:szCs w:val="28"/>
        </w:rPr>
        <w:t>一、培训背景</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为了提高对下属分公司和子公司的管控能力，提高会计核算的标准化，降低会计核算的成本，财务共享模式在我国迅速推广。不少企业集团在推行财务共享过程中积累了丰富的建设、运营以及增值服务的经验。随着信息技术的快速发展，财务共享服务模式在新技术的推动下发生了重大变化，扫描凭证之后进行传输和核算的传统模式正在改变，智能化财务共享呼之欲出。财务共享逐步从单纯的会计核算向数据挖掘、决策支持转型，为企业集团提供增值服务。</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新形势下企业应以最新的技术和模式引领企业集团的财务共享建设与运营，为决策层提供智力支持。鉴于此，北京国家会计学院2024年推出《智能共享平台的运营与决策支持》高级研修班。通过典型案例的讲解和实验室操作，使财务共享中心的管理者及团队转变思维，从战略、技术及团队人员等方门面不断优化对财务共享中心的运营管理，助力企业在数字化时代成功转型，从而开拓更广阔的发展空间。</w:t>
      </w:r>
    </w:p>
    <w:p>
      <w:pPr>
        <w:pStyle w:val="11"/>
        <w:spacing w:beforeLines="50" w:line="360" w:lineRule="exact"/>
        <w:rPr>
          <w:rFonts w:ascii="仿宋" w:hAnsi="仿宋" w:eastAsia="仿宋"/>
          <w:b/>
          <w:sz w:val="28"/>
          <w:szCs w:val="28"/>
        </w:rPr>
      </w:pPr>
      <w:r>
        <w:rPr>
          <w:rFonts w:hint="eastAsia" w:ascii="仿宋" w:hAnsi="仿宋" w:eastAsia="仿宋"/>
          <w:b/>
          <w:sz w:val="28"/>
          <w:szCs w:val="28"/>
        </w:rPr>
        <w:t>二、培训收益</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1.帮助学员掌握财务共享服务中心运营的基本模式</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2.帮助学员提高在不同场景下处理财务共享复杂问题的能力</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3.帮助学员掌握财务共享模式下的增值服务技术方法</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4.帮助学员掌握财务共享模式下数据挖掘、风险分析技术方法</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5.帮助学员掌握新数据中台等技术手段在推动财务共享向智能共享转型</w:t>
      </w:r>
    </w:p>
    <w:p>
      <w:pPr>
        <w:pStyle w:val="11"/>
        <w:spacing w:beforeLines="50" w:line="360" w:lineRule="exact"/>
        <w:rPr>
          <w:rFonts w:ascii="仿宋" w:hAnsi="仿宋" w:eastAsia="仿宋"/>
          <w:b/>
          <w:sz w:val="28"/>
          <w:szCs w:val="28"/>
        </w:rPr>
      </w:pPr>
      <w:r>
        <w:rPr>
          <w:rFonts w:hint="eastAsia" w:ascii="仿宋" w:hAnsi="仿宋" w:eastAsia="仿宋"/>
          <w:b/>
          <w:sz w:val="28"/>
          <w:szCs w:val="28"/>
        </w:rPr>
        <w:t>三、培训对象</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 大型企业、跨国公司的财务负责人以及财会部门的业务骨干</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 在建或已建立财务共享服务中心企业的高管、财务负责人以及财务、信息或人力资源等相关部门的业务骨干</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 高校从事财务管理、管理会计教学的教师</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 管理咨询公司、会计师事务所等中介机构执业人员</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 其他致力于了解和研究财务共享服务的有识之士</w:t>
      </w:r>
    </w:p>
    <w:p>
      <w:pPr>
        <w:pStyle w:val="11"/>
        <w:spacing w:beforeLines="50" w:line="360" w:lineRule="exact"/>
        <w:rPr>
          <w:rFonts w:ascii="仿宋" w:hAnsi="仿宋" w:eastAsia="仿宋"/>
          <w:b/>
          <w:sz w:val="28"/>
          <w:szCs w:val="28"/>
        </w:rPr>
      </w:pPr>
      <w:r>
        <w:rPr>
          <w:rFonts w:hint="eastAsia" w:ascii="仿宋" w:hAnsi="仿宋" w:eastAsia="仿宋"/>
          <w:b/>
          <w:sz w:val="28"/>
          <w:szCs w:val="28"/>
        </w:rPr>
        <w:t>四、培训内容</w:t>
      </w:r>
    </w:p>
    <w:p>
      <w:pPr>
        <w:spacing w:line="500" w:lineRule="exact"/>
        <w:ind w:firstLine="281" w:firstLineChars="100"/>
        <w:rPr>
          <w:rFonts w:ascii="仿宋" w:hAnsi="仿宋" w:eastAsia="仿宋" w:cs="Times New Roman"/>
          <w:b/>
          <w:sz w:val="28"/>
          <w:szCs w:val="28"/>
        </w:rPr>
      </w:pPr>
      <w:r>
        <w:rPr>
          <w:rFonts w:hint="eastAsia" w:ascii="仿宋" w:hAnsi="仿宋" w:eastAsia="仿宋" w:cs="Times New Roman"/>
          <w:b/>
          <w:sz w:val="28"/>
          <w:szCs w:val="28"/>
        </w:rPr>
        <w:t>（一）智能共享服务平台建设</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 财务共享服务中心建设的适用性评估</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 财务共享服务中心建设的动员工作及要点</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 财务共享服务中心的方案设计</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 财务共享服务中心建设的项目管理</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 财务共享中心数据中台的构建</w:t>
      </w:r>
    </w:p>
    <w:p>
      <w:pPr>
        <w:spacing w:line="500" w:lineRule="exact"/>
        <w:ind w:firstLine="281" w:firstLineChars="100"/>
        <w:rPr>
          <w:rFonts w:ascii="仿宋" w:hAnsi="仿宋" w:eastAsia="仿宋" w:cs="Times New Roman"/>
          <w:b/>
          <w:sz w:val="28"/>
          <w:szCs w:val="28"/>
        </w:rPr>
      </w:pPr>
      <w:r>
        <w:rPr>
          <w:rFonts w:hint="eastAsia" w:ascii="仿宋" w:hAnsi="仿宋" w:eastAsia="仿宋" w:cs="Times New Roman"/>
          <w:b/>
          <w:sz w:val="28"/>
          <w:szCs w:val="28"/>
        </w:rPr>
        <w:t>（二）财务共享中心运营阶段的管理实践</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 财务共享服务中心组织与人员管理</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 财务共享服务中心流程审核要点</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 财务共享服务中心凭证与票据管理</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 财务共享服务中心财务会计核算流程</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 财务共享服务中心绩效评价体系</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6. 财务共享服务中心信息系统与数据安全</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7. 财务共享服务中心内部控制与监督管理体系</w:t>
      </w:r>
    </w:p>
    <w:p>
      <w:pPr>
        <w:spacing w:line="500" w:lineRule="exact"/>
        <w:ind w:firstLine="281" w:firstLineChars="100"/>
        <w:rPr>
          <w:rFonts w:ascii="仿宋" w:hAnsi="仿宋" w:eastAsia="仿宋" w:cs="Times New Roman"/>
          <w:b/>
          <w:sz w:val="28"/>
          <w:szCs w:val="28"/>
        </w:rPr>
      </w:pPr>
      <w:r>
        <w:rPr>
          <w:rFonts w:hint="eastAsia" w:ascii="仿宋" w:hAnsi="仿宋" w:eastAsia="仿宋" w:cs="Times New Roman"/>
          <w:b/>
          <w:sz w:val="28"/>
          <w:szCs w:val="28"/>
        </w:rPr>
        <w:t>（三）财务共享服务中心增值服务及应用</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 财务共享模式下对下属企业监督职能的实施方式</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 从核算颗粒度入手的多维科目设置及决策支持</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 财务共享模式下的数据挖掘</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 财务共享与司库的融合</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 财务共享模式下的非现场审计</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6. 财务共享模式下的业财融合财务报告模式</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7. 代理记账公司采用财务共享模式的案例</w:t>
      </w:r>
    </w:p>
    <w:p>
      <w:pPr>
        <w:spacing w:line="500" w:lineRule="exact"/>
        <w:ind w:firstLine="281" w:firstLineChars="100"/>
        <w:rPr>
          <w:rFonts w:ascii="仿宋" w:hAnsi="仿宋" w:eastAsia="仿宋" w:cs="Times New Roman"/>
          <w:b/>
          <w:sz w:val="28"/>
          <w:szCs w:val="28"/>
        </w:rPr>
      </w:pPr>
      <w:r>
        <w:rPr>
          <w:rFonts w:hint="eastAsia" w:ascii="仿宋" w:hAnsi="仿宋" w:eastAsia="仿宋" w:cs="Times New Roman"/>
          <w:b/>
          <w:sz w:val="28"/>
          <w:szCs w:val="28"/>
        </w:rPr>
        <w:t>（四）战略导向下财务共享中心的经营决策</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 财务共享中心的数据价值赋能阶段</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 共享优化迭代精益运营的财务精细化管理</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 集合全域数据的分析预判</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 财务共享模式下的风险预警</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 通过数据化场景构建经营决策</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6. 基于战略的共享平台决策案例</w:t>
      </w:r>
    </w:p>
    <w:p>
      <w:pPr>
        <w:spacing w:line="500" w:lineRule="exact"/>
        <w:ind w:firstLine="281" w:firstLineChars="100"/>
        <w:rPr>
          <w:rFonts w:ascii="仿宋" w:hAnsi="仿宋" w:eastAsia="仿宋" w:cs="Times New Roman"/>
          <w:b/>
          <w:sz w:val="28"/>
          <w:szCs w:val="28"/>
        </w:rPr>
      </w:pPr>
      <w:r>
        <w:rPr>
          <w:rFonts w:hint="eastAsia" w:ascii="仿宋" w:hAnsi="仿宋" w:eastAsia="仿宋" w:cs="Times New Roman"/>
          <w:b/>
          <w:sz w:val="28"/>
          <w:szCs w:val="28"/>
        </w:rPr>
        <w:t>（五）财务机器人——RPA在财务共享服务中心的应用</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 财务机器人的特点及功能</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 财务机器人的收益与局限性</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 财务机器人三大适用标准</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 财务机器人应用流程示例</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 财务机器人的选择和实施</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6. 自动化的财务机器人向智能共享的发展</w:t>
      </w:r>
    </w:p>
    <w:p>
      <w:pPr>
        <w:spacing w:line="500" w:lineRule="exact"/>
        <w:ind w:firstLine="281" w:firstLineChars="100"/>
        <w:rPr>
          <w:rFonts w:ascii="仿宋" w:hAnsi="仿宋" w:eastAsia="仿宋" w:cs="Times New Roman"/>
          <w:b/>
          <w:sz w:val="28"/>
          <w:szCs w:val="28"/>
        </w:rPr>
      </w:pPr>
      <w:r>
        <w:rPr>
          <w:rFonts w:hint="eastAsia" w:ascii="仿宋" w:hAnsi="仿宋" w:eastAsia="仿宋" w:cs="Times New Roman"/>
          <w:b/>
          <w:sz w:val="28"/>
          <w:szCs w:val="28"/>
        </w:rPr>
        <w:t>（六）智能财务共享平台的实验室操作、实地考察及现场答疑</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 国旅集团/中交集团/中铁建等企业财务共享中心实地参观</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 北京国家会计学院财务共享实验室操作演示</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 实务专家现场面对面答疑解惑</w:t>
      </w:r>
    </w:p>
    <w:p>
      <w:pPr>
        <w:pStyle w:val="11"/>
        <w:spacing w:beforeLines="50" w:line="360" w:lineRule="exact"/>
        <w:rPr>
          <w:rFonts w:ascii="仿宋" w:hAnsi="仿宋" w:eastAsia="仿宋"/>
          <w:b/>
          <w:sz w:val="28"/>
          <w:szCs w:val="28"/>
        </w:rPr>
      </w:pPr>
      <w:r>
        <w:rPr>
          <w:rFonts w:hint="eastAsia" w:ascii="仿宋" w:hAnsi="仿宋" w:eastAsia="仿宋"/>
          <w:b/>
          <w:sz w:val="28"/>
          <w:szCs w:val="28"/>
        </w:rPr>
        <w:t>五、培训师资</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本课程由北京国家会计学院精心组织的专门师资团队授课。授课老师均具有深厚的理论功底及丰富的实践经验，包括北京国家会计学院教授、实务界资深专家、政策制定者等。具体师资以实际课表为准。</w:t>
      </w:r>
    </w:p>
    <w:p>
      <w:pPr>
        <w:pStyle w:val="11"/>
        <w:spacing w:beforeLines="50" w:afterLines="50" w:line="360" w:lineRule="exact"/>
        <w:rPr>
          <w:rFonts w:ascii="仿宋" w:hAnsi="仿宋" w:eastAsia="仿宋"/>
          <w:b/>
          <w:sz w:val="28"/>
          <w:szCs w:val="28"/>
        </w:rPr>
      </w:pPr>
      <w:r>
        <w:rPr>
          <w:rFonts w:hint="eastAsia" w:ascii="仿宋" w:hAnsi="仿宋" w:eastAsia="仿宋"/>
          <w:b/>
          <w:sz w:val="28"/>
          <w:szCs w:val="28"/>
        </w:rPr>
        <w:t>六、培训时间地点</w:t>
      </w:r>
    </w:p>
    <w:tbl>
      <w:tblPr>
        <w:tblStyle w:val="7"/>
        <w:tblW w:w="4856" w:type="pct"/>
        <w:jc w:val="center"/>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autofit"/>
        <w:tblCellMar>
          <w:top w:w="0" w:type="dxa"/>
          <w:left w:w="0" w:type="dxa"/>
          <w:bottom w:w="0" w:type="dxa"/>
          <w:right w:w="0" w:type="dxa"/>
        </w:tblCellMar>
      </w:tblPr>
      <w:tblGrid>
        <w:gridCol w:w="1604"/>
        <w:gridCol w:w="1469"/>
        <w:gridCol w:w="2202"/>
        <w:gridCol w:w="1559"/>
        <w:gridCol w:w="1254"/>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0" w:type="dxa"/>
            <w:left w:w="0" w:type="dxa"/>
            <w:bottom w:w="0" w:type="dxa"/>
            <w:right w:w="0" w:type="dxa"/>
          </w:tblCellMar>
        </w:tblPrEx>
        <w:trPr>
          <w:trHeight w:val="519" w:hRule="atLeast"/>
          <w:jc w:val="center"/>
        </w:trPr>
        <w:tc>
          <w:tcPr>
            <w:tcW w:w="99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期数</w:t>
            </w:r>
          </w:p>
        </w:tc>
        <w:tc>
          <w:tcPr>
            <w:tcW w:w="9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报到时间</w:t>
            </w:r>
          </w:p>
        </w:tc>
        <w:tc>
          <w:tcPr>
            <w:tcW w:w="136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培训时间</w:t>
            </w:r>
          </w:p>
        </w:tc>
        <w:tc>
          <w:tcPr>
            <w:tcW w:w="96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返程时间</w:t>
            </w:r>
          </w:p>
        </w:tc>
        <w:tc>
          <w:tcPr>
            <w:tcW w:w="7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地点</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0" w:type="dxa"/>
            <w:left w:w="0" w:type="dxa"/>
            <w:bottom w:w="0" w:type="dxa"/>
            <w:right w:w="0" w:type="dxa"/>
          </w:tblCellMar>
        </w:tblPrEx>
        <w:trPr>
          <w:trHeight w:val="519" w:hRule="atLeast"/>
          <w:jc w:val="center"/>
        </w:trPr>
        <w:tc>
          <w:tcPr>
            <w:tcW w:w="99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总第18期</w:t>
            </w:r>
          </w:p>
        </w:tc>
        <w:tc>
          <w:tcPr>
            <w:tcW w:w="9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3月24日</w:t>
            </w:r>
          </w:p>
        </w:tc>
        <w:tc>
          <w:tcPr>
            <w:tcW w:w="136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3月25日-27日</w:t>
            </w:r>
          </w:p>
        </w:tc>
        <w:tc>
          <w:tcPr>
            <w:tcW w:w="96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11月25日</w:t>
            </w:r>
          </w:p>
        </w:tc>
        <w:tc>
          <w:tcPr>
            <w:tcW w:w="7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北京</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0" w:type="dxa"/>
            <w:left w:w="0" w:type="dxa"/>
            <w:bottom w:w="0" w:type="dxa"/>
            <w:right w:w="0" w:type="dxa"/>
          </w:tblCellMar>
        </w:tblPrEx>
        <w:trPr>
          <w:trHeight w:val="519" w:hRule="atLeast"/>
          <w:jc w:val="center"/>
        </w:trPr>
        <w:tc>
          <w:tcPr>
            <w:tcW w:w="99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总第19期</w:t>
            </w:r>
          </w:p>
        </w:tc>
        <w:tc>
          <w:tcPr>
            <w:tcW w:w="9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5月25日</w:t>
            </w:r>
          </w:p>
        </w:tc>
        <w:tc>
          <w:tcPr>
            <w:tcW w:w="136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5月26日-28日</w:t>
            </w:r>
          </w:p>
        </w:tc>
        <w:tc>
          <w:tcPr>
            <w:tcW w:w="96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5月29日</w:t>
            </w:r>
          </w:p>
        </w:tc>
        <w:tc>
          <w:tcPr>
            <w:tcW w:w="7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成都</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0" w:type="dxa"/>
            <w:left w:w="0" w:type="dxa"/>
            <w:bottom w:w="0" w:type="dxa"/>
            <w:right w:w="0" w:type="dxa"/>
          </w:tblCellMar>
        </w:tblPrEx>
        <w:trPr>
          <w:trHeight w:val="519" w:hRule="atLeast"/>
          <w:jc w:val="center"/>
        </w:trPr>
        <w:tc>
          <w:tcPr>
            <w:tcW w:w="99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总第20期</w:t>
            </w:r>
          </w:p>
        </w:tc>
        <w:tc>
          <w:tcPr>
            <w:tcW w:w="9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7月19日</w:t>
            </w:r>
          </w:p>
        </w:tc>
        <w:tc>
          <w:tcPr>
            <w:tcW w:w="136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7月18日-20日</w:t>
            </w:r>
          </w:p>
        </w:tc>
        <w:tc>
          <w:tcPr>
            <w:tcW w:w="96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7月21日</w:t>
            </w:r>
          </w:p>
        </w:tc>
        <w:tc>
          <w:tcPr>
            <w:tcW w:w="7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大连</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0" w:type="dxa"/>
            <w:left w:w="0" w:type="dxa"/>
            <w:bottom w:w="0" w:type="dxa"/>
            <w:right w:w="0" w:type="dxa"/>
          </w:tblCellMar>
        </w:tblPrEx>
        <w:trPr>
          <w:trHeight w:val="519" w:hRule="atLeast"/>
          <w:jc w:val="center"/>
        </w:trPr>
        <w:tc>
          <w:tcPr>
            <w:tcW w:w="99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总第21期</w:t>
            </w:r>
          </w:p>
        </w:tc>
        <w:tc>
          <w:tcPr>
            <w:tcW w:w="9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9月2日</w:t>
            </w:r>
          </w:p>
        </w:tc>
        <w:tc>
          <w:tcPr>
            <w:tcW w:w="136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9月3日-5日</w:t>
            </w:r>
          </w:p>
        </w:tc>
        <w:tc>
          <w:tcPr>
            <w:tcW w:w="96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9月6日</w:t>
            </w:r>
          </w:p>
        </w:tc>
        <w:tc>
          <w:tcPr>
            <w:tcW w:w="7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青岛</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0" w:type="dxa"/>
            <w:left w:w="0" w:type="dxa"/>
            <w:bottom w:w="0" w:type="dxa"/>
            <w:right w:w="0" w:type="dxa"/>
          </w:tblCellMar>
        </w:tblPrEx>
        <w:trPr>
          <w:trHeight w:val="519" w:hRule="atLeast"/>
          <w:jc w:val="center"/>
        </w:trPr>
        <w:tc>
          <w:tcPr>
            <w:tcW w:w="99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总第22期</w:t>
            </w:r>
          </w:p>
        </w:tc>
        <w:tc>
          <w:tcPr>
            <w:tcW w:w="9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11月26日</w:t>
            </w:r>
          </w:p>
        </w:tc>
        <w:tc>
          <w:tcPr>
            <w:tcW w:w="136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11月27日-29日</w:t>
            </w:r>
          </w:p>
        </w:tc>
        <w:tc>
          <w:tcPr>
            <w:tcW w:w="96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11月30日</w:t>
            </w:r>
          </w:p>
        </w:tc>
        <w:tc>
          <w:tcPr>
            <w:tcW w:w="77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北京</w:t>
            </w:r>
          </w:p>
        </w:tc>
      </w:tr>
    </w:tbl>
    <w:p>
      <w:pPr>
        <w:widowControl/>
        <w:spacing w:line="360" w:lineRule="auto"/>
        <w:ind w:firstLine="480"/>
        <w:jc w:val="left"/>
        <w:rPr>
          <w:rFonts w:ascii="仿宋" w:hAnsi="仿宋" w:eastAsia="仿宋" w:cs="宋体"/>
          <w:kern w:val="0"/>
          <w:sz w:val="24"/>
        </w:rPr>
      </w:pPr>
      <w:r>
        <w:rPr>
          <w:rFonts w:hint="eastAsia" w:ascii="仿宋" w:hAnsi="仿宋" w:eastAsia="仿宋" w:cs="宋体"/>
          <w:kern w:val="0"/>
          <w:sz w:val="24"/>
        </w:rPr>
        <w:t>提示：结束时间以开课通知或课程安排表为准。</w:t>
      </w:r>
    </w:p>
    <w:p>
      <w:pPr>
        <w:pStyle w:val="11"/>
        <w:spacing w:beforeLines="50" w:line="360" w:lineRule="exact"/>
        <w:rPr>
          <w:rFonts w:ascii="仿宋" w:hAnsi="仿宋" w:eastAsia="仿宋"/>
          <w:b/>
          <w:sz w:val="28"/>
          <w:szCs w:val="28"/>
        </w:rPr>
      </w:pPr>
      <w:r>
        <w:rPr>
          <w:rFonts w:hint="eastAsia" w:ascii="仿宋" w:hAnsi="仿宋" w:eastAsia="仿宋"/>
          <w:b/>
          <w:sz w:val="28"/>
          <w:szCs w:val="28"/>
        </w:rPr>
        <w:t>七、结业及考核</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完成全部课程学习后，获得由北京国家会计学院颁发的电子版结业证书。</w:t>
      </w:r>
    </w:p>
    <w:p>
      <w:pPr>
        <w:pStyle w:val="11"/>
        <w:spacing w:beforeLines="50" w:line="360" w:lineRule="exact"/>
        <w:rPr>
          <w:rFonts w:ascii="仿宋" w:hAnsi="仿宋" w:eastAsia="仿宋"/>
          <w:b/>
          <w:sz w:val="28"/>
          <w:szCs w:val="28"/>
        </w:rPr>
      </w:pPr>
      <w:r>
        <w:rPr>
          <w:rFonts w:hint="eastAsia" w:ascii="仿宋" w:hAnsi="仿宋" w:eastAsia="仿宋"/>
          <w:b/>
          <w:sz w:val="28"/>
          <w:szCs w:val="28"/>
        </w:rPr>
        <w:t>八、收费标准及缴费方式</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1.培训费: 5800元/人（含培训费、电子资料费、场地费、结业证书等费用）；</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2.在北京国家会计学院举办的培训可提供食宿。就餐为自助餐，收费标准为120元/人天。住宿条件为单人标准间，收费标准普通间</w:t>
      </w:r>
      <w:r>
        <w:rPr>
          <w:rFonts w:hint="eastAsia" w:ascii="仿宋" w:hAnsi="仿宋" w:eastAsia="仿宋" w:cs="Times New Roman"/>
          <w:sz w:val="28"/>
          <w:szCs w:val="28"/>
          <w:lang w:val="en-US" w:eastAsia="zh-CN"/>
        </w:rPr>
        <w:t>34</w:t>
      </w:r>
      <w:bookmarkStart w:id="0" w:name="_GoBack"/>
      <w:bookmarkEnd w:id="0"/>
      <w:r>
        <w:rPr>
          <w:rFonts w:hint="eastAsia" w:ascii="仿宋" w:hAnsi="仿宋" w:eastAsia="仿宋" w:cs="Times New Roman"/>
          <w:sz w:val="28"/>
          <w:szCs w:val="28"/>
        </w:rPr>
        <w:t>0元/人天，商务间550元/人天，新商务间650元/人天（住宿费用含游泳、健身、净娱乐、宽带上网等费用），在京外举办的培训由当地酒店提供食宿，统一安排，费用自理。</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3.缴费方式：</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（1）报到时现场刷卡或扫码支付；</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（2）银行汇款（培训费可汇款，食宿费需当场缴纳）：</w:t>
      </w:r>
    </w:p>
    <w:p>
      <w:pPr>
        <w:spacing w:line="500" w:lineRule="exact"/>
        <w:ind w:firstLine="1400" w:firstLineChars="500"/>
        <w:rPr>
          <w:rFonts w:ascii="仿宋" w:hAnsi="仿宋" w:eastAsia="仿宋" w:cs="Times New Roman"/>
          <w:sz w:val="28"/>
          <w:szCs w:val="28"/>
        </w:rPr>
      </w:pPr>
      <w:r>
        <w:rPr>
          <w:rFonts w:hint="eastAsia" w:ascii="仿宋" w:hAnsi="仿宋" w:eastAsia="仿宋" w:cs="Times New Roman"/>
          <w:sz w:val="28"/>
          <w:szCs w:val="28"/>
        </w:rPr>
        <w:t>单位名称：北京国家会计学院</w:t>
      </w:r>
    </w:p>
    <w:p>
      <w:pPr>
        <w:spacing w:line="500" w:lineRule="exact"/>
        <w:ind w:firstLine="1400" w:firstLineChars="500"/>
        <w:rPr>
          <w:rFonts w:ascii="仿宋" w:hAnsi="仿宋" w:eastAsia="仿宋" w:cs="Times New Roman"/>
          <w:sz w:val="28"/>
          <w:szCs w:val="28"/>
        </w:rPr>
      </w:pPr>
      <w:r>
        <w:rPr>
          <w:rFonts w:hint="eastAsia" w:ascii="仿宋" w:hAnsi="仿宋" w:eastAsia="仿宋" w:cs="Times New Roman"/>
          <w:sz w:val="28"/>
          <w:szCs w:val="28"/>
        </w:rPr>
        <w:t>开户行：中国建设银行北京天竺支行（201）</w:t>
      </w:r>
    </w:p>
    <w:p>
      <w:pPr>
        <w:spacing w:line="500" w:lineRule="exact"/>
        <w:ind w:firstLine="1400" w:firstLineChars="500"/>
        <w:rPr>
          <w:rFonts w:ascii="仿宋" w:hAnsi="仿宋" w:eastAsia="仿宋" w:cs="Times New Roman"/>
          <w:sz w:val="28"/>
          <w:szCs w:val="28"/>
        </w:rPr>
      </w:pPr>
      <w:r>
        <w:rPr>
          <w:rFonts w:hint="eastAsia" w:ascii="仿宋" w:hAnsi="仿宋" w:eastAsia="仿宋" w:cs="Times New Roman"/>
          <w:sz w:val="28"/>
          <w:szCs w:val="28"/>
        </w:rPr>
        <w:t>账  号：1100 1020 1000 5603 0985</w:t>
      </w:r>
    </w:p>
    <w:p>
      <w:pPr>
        <w:pStyle w:val="11"/>
        <w:spacing w:beforeLines="50" w:line="360" w:lineRule="exact"/>
        <w:rPr>
          <w:rFonts w:ascii="仿宋" w:hAnsi="仿宋" w:eastAsia="仿宋"/>
          <w:b/>
          <w:sz w:val="28"/>
          <w:szCs w:val="28"/>
        </w:rPr>
      </w:pPr>
      <w:r>
        <w:rPr>
          <w:rFonts w:hint="eastAsia" w:ascii="仿宋" w:hAnsi="仿宋" w:eastAsia="仿宋"/>
          <w:b/>
          <w:sz w:val="28"/>
          <w:szCs w:val="28"/>
        </w:rPr>
        <w:t>九、报名方式</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请将报名回执表填写完整后发邮件，我们会在开班前一周发报到通知。</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报名联系人：李老师</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报名电话：15652426725</w:t>
      </w:r>
    </w:p>
    <w:p>
      <w:pPr>
        <w:spacing w:line="5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报名邮箱：accountant_cfo@163.com</w:t>
      </w:r>
    </w:p>
    <w:p>
      <w:pPr>
        <w:widowControl/>
        <w:spacing w:line="360" w:lineRule="auto"/>
        <w:jc w:val="left"/>
        <w:rPr>
          <w:rFonts w:ascii="宋体" w:hAnsi="宋体" w:eastAsia="宋体" w:cs="宋体"/>
          <w:kern w:val="0"/>
          <w:sz w:val="24"/>
        </w:rPr>
      </w:pPr>
    </w:p>
    <w:p>
      <w:pPr>
        <w:spacing w:line="440" w:lineRule="exact"/>
        <w:jc w:val="right"/>
        <w:rPr>
          <w:rFonts w:ascii="仿宋" w:hAnsi="仿宋" w:eastAsia="仿宋"/>
          <w:sz w:val="28"/>
          <w:szCs w:val="28"/>
        </w:rPr>
      </w:pPr>
      <w:r>
        <w:rPr>
          <w:rFonts w:hint="eastAsia" w:ascii="仿宋" w:hAnsi="仿宋" w:eastAsia="仿宋"/>
          <w:sz w:val="28"/>
          <w:szCs w:val="28"/>
        </w:rPr>
        <w:t>北京国家会计学院教务部</w:t>
      </w:r>
    </w:p>
    <w:p>
      <w:pPr>
        <w:wordWrap w:val="0"/>
        <w:spacing w:line="440" w:lineRule="exact"/>
        <w:jc w:val="right"/>
        <w:rPr>
          <w:rFonts w:ascii="仿宋" w:hAnsi="仿宋" w:eastAsia="仿宋"/>
          <w:sz w:val="28"/>
          <w:szCs w:val="28"/>
        </w:rPr>
      </w:pPr>
      <w:r>
        <w:rPr>
          <w:rFonts w:hint="eastAsia" w:ascii="仿宋" w:hAnsi="仿宋" w:eastAsia="仿宋"/>
          <w:sz w:val="28"/>
          <w:szCs w:val="28"/>
        </w:rPr>
        <w:t xml:space="preserve">2024年1月    </w:t>
      </w:r>
    </w:p>
    <w:p>
      <w:pPr>
        <w:spacing w:line="440" w:lineRule="exact"/>
        <w:jc w:val="center"/>
        <w:rPr>
          <w:rFonts w:hint="eastAsia" w:ascii="仿宋" w:hAnsi="仿宋" w:eastAsia="仿宋" w:cs="宋体"/>
          <w:b/>
          <w:bCs/>
          <w:kern w:val="0"/>
          <w:sz w:val="30"/>
          <w:szCs w:val="30"/>
        </w:rPr>
      </w:pPr>
    </w:p>
    <w:p>
      <w:pPr>
        <w:spacing w:line="440" w:lineRule="exact"/>
        <w:jc w:val="center"/>
        <w:rPr>
          <w:rFonts w:hint="eastAsia" w:ascii="仿宋" w:hAnsi="仿宋" w:eastAsia="仿宋" w:cs="宋体"/>
          <w:b/>
          <w:bCs/>
          <w:kern w:val="0"/>
          <w:sz w:val="30"/>
          <w:szCs w:val="30"/>
        </w:rPr>
      </w:pPr>
    </w:p>
    <w:p>
      <w:pPr>
        <w:spacing w:line="440" w:lineRule="exact"/>
        <w:jc w:val="center"/>
        <w:rPr>
          <w:rFonts w:hint="eastAsia" w:ascii="仿宋" w:hAnsi="仿宋" w:eastAsia="仿宋" w:cs="宋体"/>
          <w:b/>
          <w:bCs/>
          <w:kern w:val="0"/>
          <w:sz w:val="30"/>
          <w:szCs w:val="30"/>
        </w:rPr>
      </w:pPr>
    </w:p>
    <w:p>
      <w:pPr>
        <w:spacing w:line="440" w:lineRule="exact"/>
        <w:jc w:val="center"/>
        <w:rPr>
          <w:rFonts w:ascii="仿宋" w:hAnsi="仿宋" w:eastAsia="仿宋" w:cs="宋体"/>
          <w:b/>
          <w:bCs/>
          <w:kern w:val="0"/>
          <w:sz w:val="30"/>
          <w:szCs w:val="30"/>
        </w:rPr>
      </w:pPr>
      <w:r>
        <w:rPr>
          <w:rFonts w:hint="eastAsia" w:ascii="仿宋" w:hAnsi="仿宋" w:eastAsia="仿宋" w:cs="宋体"/>
          <w:b/>
          <w:bCs/>
          <w:kern w:val="0"/>
          <w:sz w:val="30"/>
          <w:szCs w:val="30"/>
        </w:rPr>
        <w:t>2024</w:t>
      </w:r>
      <w:r>
        <w:rPr>
          <w:rFonts w:hint="eastAsia" w:ascii="仿宋" w:hAnsi="仿宋" w:eastAsia="仿宋" w:cs="宋体"/>
          <w:b/>
          <w:bCs/>
          <w:kern w:val="0"/>
          <w:sz w:val="30"/>
          <w:szCs w:val="30"/>
          <w:lang w:eastAsia="zh-CN"/>
        </w:rPr>
        <w:t>年</w:t>
      </w:r>
      <w:r>
        <w:rPr>
          <w:rFonts w:hint="eastAsia" w:ascii="仿宋" w:hAnsi="仿宋" w:eastAsia="仿宋" w:cs="宋体"/>
          <w:b/>
          <w:bCs/>
          <w:kern w:val="0"/>
          <w:sz w:val="30"/>
          <w:szCs w:val="30"/>
        </w:rPr>
        <w:t>《智能共享平台的运营与决策支持》报名回执表</w:t>
      </w:r>
    </w:p>
    <w:tbl>
      <w:tblPr>
        <w:tblStyle w:val="7"/>
        <w:tblpPr w:leftFromText="180" w:rightFromText="180" w:vertAnchor="text" w:horzAnchor="page" w:tblpX="1455" w:tblpY="156"/>
        <w:tblOverlap w:val="never"/>
        <w:tblW w:w="930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242"/>
        <w:gridCol w:w="709"/>
        <w:gridCol w:w="709"/>
        <w:gridCol w:w="709"/>
        <w:gridCol w:w="1701"/>
        <w:gridCol w:w="1785"/>
        <w:gridCol w:w="75"/>
        <w:gridCol w:w="23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8"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before="156" w:after="156"/>
              <w:rPr>
                <w:rFonts w:ascii="仿宋" w:hAnsi="仿宋" w:eastAsia="仿宋"/>
                <w:color w:val="58595B"/>
                <w:sz w:val="24"/>
              </w:rPr>
            </w:pPr>
            <w:r>
              <w:rPr>
                <w:rFonts w:hint="eastAsia" w:ascii="仿宋" w:hAnsi="仿宋" w:eastAsia="仿宋"/>
                <w:color w:val="000000"/>
                <w:sz w:val="24"/>
              </w:rPr>
              <w:t>单位名称</w:t>
            </w:r>
          </w:p>
        </w:tc>
        <w:tc>
          <w:tcPr>
            <w:tcW w:w="382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rPr>
            </w:pPr>
            <w:r>
              <w:rPr>
                <w:rFonts w:ascii="仿宋" w:hAnsi="仿宋" w:eastAsia="仿宋"/>
                <w:color w:val="000000"/>
                <w:sz w:val="24"/>
              </w:rPr>
              <w:t xml:space="preserve"> </w:t>
            </w:r>
          </w:p>
        </w:tc>
        <w:tc>
          <w:tcPr>
            <w:tcW w:w="1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rPr>
            </w:pPr>
            <w:r>
              <w:rPr>
                <w:rFonts w:hint="eastAsia" w:ascii="仿宋" w:hAnsi="仿宋" w:eastAsia="仿宋"/>
                <w:color w:val="000000"/>
                <w:sz w:val="24"/>
              </w:rPr>
              <w:t>传真号码</w:t>
            </w:r>
          </w:p>
        </w:tc>
        <w:tc>
          <w:tcPr>
            <w:tcW w:w="24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rPr>
            </w:pPr>
            <w:r>
              <w:rPr>
                <w:rFonts w:ascii="仿宋" w:hAnsi="仿宋" w:eastAsia="仿宋"/>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0"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color w:val="58595B"/>
                <w:sz w:val="24"/>
              </w:rPr>
            </w:pPr>
            <w:r>
              <w:rPr>
                <w:rFonts w:ascii="仿宋" w:hAnsi="仿宋" w:eastAsia="仿宋"/>
                <w:color w:val="000000"/>
                <w:sz w:val="24"/>
              </w:rPr>
              <w:t>联系人</w:t>
            </w: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 w:val="24"/>
              </w:rPr>
            </w:pPr>
            <w:r>
              <w:rPr>
                <w:rFonts w:ascii="仿宋" w:hAnsi="仿宋" w:eastAsia="仿宋"/>
                <w:color w:val="000000"/>
                <w:spacing w:val="-26"/>
                <w:sz w:val="24"/>
              </w:rPr>
              <w:t xml:space="preserve"> </w:t>
            </w:r>
          </w:p>
        </w:tc>
        <w:tc>
          <w:tcPr>
            <w:tcW w:w="241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 w:val="24"/>
              </w:rPr>
            </w:pPr>
            <w:r>
              <w:rPr>
                <w:rFonts w:ascii="仿宋" w:hAnsi="仿宋" w:eastAsia="仿宋"/>
                <w:color w:val="000000"/>
                <w:sz w:val="24"/>
              </w:rPr>
              <w:t>联系方式</w:t>
            </w:r>
          </w:p>
        </w:tc>
        <w:tc>
          <w:tcPr>
            <w:tcW w:w="423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58595B"/>
                <w:sz w:val="24"/>
              </w:rPr>
            </w:pPr>
            <w:r>
              <w:rPr>
                <w:rFonts w:ascii="仿宋" w:hAnsi="仿宋" w:eastAsia="仿宋"/>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6"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rPr>
                <w:rFonts w:ascii="仿宋" w:hAnsi="仿宋" w:eastAsia="仿宋"/>
                <w:color w:val="000000"/>
                <w:sz w:val="24"/>
              </w:rPr>
            </w:pPr>
            <w:r>
              <w:rPr>
                <w:rFonts w:hint="eastAsia" w:ascii="仿宋" w:hAnsi="仿宋" w:eastAsia="仿宋"/>
                <w:color w:val="000000"/>
                <w:sz w:val="24"/>
              </w:rPr>
              <w:t>学员姓名</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color w:val="000000"/>
                <w:spacing w:val="-26"/>
                <w:sz w:val="24"/>
              </w:rPr>
            </w:pPr>
            <w:r>
              <w:rPr>
                <w:rFonts w:ascii="仿宋" w:hAnsi="仿宋" w:eastAsia="仿宋"/>
                <w:color w:val="000000"/>
                <w:spacing w:val="-26"/>
                <w:sz w:val="24"/>
              </w:rPr>
              <w:t>性别</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color w:val="000000"/>
                <w:spacing w:val="-26"/>
                <w:sz w:val="24"/>
              </w:rPr>
            </w:pPr>
            <w:r>
              <w:rPr>
                <w:rFonts w:ascii="仿宋" w:hAnsi="仿宋" w:eastAsia="仿宋"/>
                <w:color w:val="000000"/>
                <w:spacing w:val="-26"/>
                <w:sz w:val="24"/>
              </w:rPr>
              <w:t>部门</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rPr>
            </w:pPr>
            <w:r>
              <w:rPr>
                <w:rFonts w:ascii="仿宋" w:hAnsi="仿宋" w:eastAsia="仿宋"/>
                <w:color w:val="000000"/>
                <w:sz w:val="24"/>
              </w:rPr>
              <w:t xml:space="preserve">职务 </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rPr>
            </w:pPr>
            <w:r>
              <w:rPr>
                <w:rFonts w:ascii="仿宋" w:hAnsi="仿宋" w:eastAsia="仿宋"/>
                <w:color w:val="000000"/>
                <w:sz w:val="24"/>
              </w:rPr>
              <w:t xml:space="preserve">联系电话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rPr>
            </w:pPr>
            <w:r>
              <w:rPr>
                <w:rFonts w:ascii="仿宋" w:hAnsi="仿宋" w:eastAsia="仿宋"/>
                <w:color w:val="000000"/>
                <w:sz w:val="24"/>
              </w:rPr>
              <w:t>手机号码</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 w:val="24"/>
              </w:rPr>
            </w:pPr>
            <w:r>
              <w:rPr>
                <w:rFonts w:ascii="仿宋" w:hAnsi="仿宋" w:eastAsia="仿宋"/>
                <w:color w:val="000000"/>
                <w:sz w:val="24"/>
              </w:rPr>
              <w:t>电子邮箱</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Arial" w:hAnsi="宋体"/>
                <w:color w:val="58595B"/>
                <w:szCs w:val="21"/>
              </w:rPr>
            </w:pPr>
            <w:r>
              <w:rPr>
                <w:rFonts w:hAnsi="宋体"/>
                <w:b/>
                <w:color w:val="000000"/>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Arial" w:hAnsi="宋体"/>
                <w:color w:val="58595B"/>
                <w:szCs w:val="21"/>
              </w:rPr>
            </w:pPr>
            <w:r>
              <w:rPr>
                <w:rFonts w:hAnsi="宋体"/>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r>
              <w:rPr>
                <w:rFonts w:hint="eastAsia" w:ascii="仿宋" w:hAnsi="仿宋" w:eastAsia="仿宋"/>
                <w:b/>
                <w:color w:val="000000"/>
                <w:szCs w:val="21"/>
              </w:rPr>
              <w:t>课程选择</w:t>
            </w:r>
          </w:p>
        </w:tc>
        <w:tc>
          <w:tcPr>
            <w:tcW w:w="806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b/>
                <w:color w:val="000000"/>
                <w:szCs w:val="21"/>
              </w:rPr>
            </w:pPr>
            <w:r>
              <w:rPr>
                <w:rFonts w:hint="eastAsia" w:ascii="仿宋" w:hAnsi="仿宋" w:eastAsia="仿宋"/>
              </w:rPr>
              <w:t>开班时间：</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月；期数：第</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期（请在横线中填写）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57" w:hRule="atLeast"/>
        </w:trPr>
        <w:tc>
          <w:tcPr>
            <w:tcW w:w="9302"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仿宋" w:hAnsi="仿宋" w:eastAsia="仿宋" w:cs="宋体"/>
                <w:b/>
                <w:sz w:val="24"/>
              </w:rPr>
            </w:pPr>
            <w:r>
              <w:rPr>
                <w:rFonts w:hint="eastAsia" w:ascii="仿宋" w:hAnsi="仿宋" w:eastAsia="仿宋" w:cs="宋体"/>
                <w:b/>
                <w:sz w:val="24"/>
              </w:rPr>
              <w:t>报名咨询：</w:t>
            </w:r>
          </w:p>
          <w:p>
            <w:pPr>
              <w:spacing w:line="360" w:lineRule="auto"/>
              <w:rPr>
                <w:rFonts w:ascii="仿宋" w:hAnsi="仿宋" w:eastAsia="仿宋" w:cs="宋体"/>
                <w:sz w:val="24"/>
              </w:rPr>
            </w:pPr>
            <w:r>
              <w:rPr>
                <w:rFonts w:hint="eastAsia" w:ascii="仿宋" w:hAnsi="仿宋" w:eastAsia="仿宋" w:cs="宋体"/>
                <w:sz w:val="24"/>
              </w:rPr>
              <w:t>联系人：李老师     手机：15652426725（同微信）     邮箱：2635131094@qq.com</w:t>
            </w:r>
          </w:p>
          <w:p>
            <w:pPr>
              <w:spacing w:line="360" w:lineRule="auto"/>
              <w:rPr>
                <w:rFonts w:ascii="仿宋" w:hAnsi="仿宋" w:eastAsia="仿宋" w:cs="宋体"/>
                <w:b/>
                <w:color w:val="000000"/>
                <w:kern w:val="0"/>
                <w:szCs w:val="21"/>
              </w:rPr>
            </w:pPr>
            <w:r>
              <w:rPr>
                <w:rFonts w:hint="eastAsia" w:ascii="仿宋" w:hAnsi="仿宋" w:eastAsia="仿宋" w:cs="宋体"/>
                <w:sz w:val="24"/>
              </w:rPr>
              <w:t>注：请将报名回执表填写完整回复到报名邮箱 accountant_cfo@163.com</w:t>
            </w:r>
          </w:p>
        </w:tc>
      </w:tr>
    </w:tbl>
    <w:p>
      <w:pPr>
        <w:spacing w:line="120" w:lineRule="exact"/>
        <w:rPr>
          <w:rFonts w:ascii="仿宋" w:hAnsi="仿宋" w:eastAsia="仿宋" w:cs="仿宋"/>
          <w:sz w:val="30"/>
          <w:szCs w:val="30"/>
        </w:rPr>
      </w:pPr>
    </w:p>
    <w:p>
      <w:pPr>
        <w:widowControl/>
        <w:spacing w:line="360" w:lineRule="auto"/>
        <w:ind w:firstLine="480"/>
        <w:jc w:val="left"/>
        <w:rPr>
          <w:rFonts w:ascii="宋体" w:hAnsi="宋体" w:eastAsia="宋体" w:cs="宋体"/>
          <w:kern w:val="0"/>
          <w:sz w:val="24"/>
        </w:rPr>
      </w:pP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D53F0C"/>
    <w:rsid w:val="00126D94"/>
    <w:rsid w:val="00212A77"/>
    <w:rsid w:val="00392F9D"/>
    <w:rsid w:val="003E6B71"/>
    <w:rsid w:val="004600D1"/>
    <w:rsid w:val="00481664"/>
    <w:rsid w:val="00547883"/>
    <w:rsid w:val="00690562"/>
    <w:rsid w:val="006C3BF0"/>
    <w:rsid w:val="00790354"/>
    <w:rsid w:val="007917C2"/>
    <w:rsid w:val="007D7592"/>
    <w:rsid w:val="007E6BFE"/>
    <w:rsid w:val="0080004E"/>
    <w:rsid w:val="00864C3E"/>
    <w:rsid w:val="008A296F"/>
    <w:rsid w:val="009325F3"/>
    <w:rsid w:val="009C396E"/>
    <w:rsid w:val="00A66302"/>
    <w:rsid w:val="00AA4EC7"/>
    <w:rsid w:val="00AE7EF9"/>
    <w:rsid w:val="00B3179C"/>
    <w:rsid w:val="00B33AA4"/>
    <w:rsid w:val="00CA1B85"/>
    <w:rsid w:val="00CC7781"/>
    <w:rsid w:val="00D53F0C"/>
    <w:rsid w:val="00D95CD9"/>
    <w:rsid w:val="00DA50BC"/>
    <w:rsid w:val="00E725A6"/>
    <w:rsid w:val="00EB1964"/>
    <w:rsid w:val="00FD2EF5"/>
    <w:rsid w:val="25C27795"/>
    <w:rsid w:val="262256DD"/>
    <w:rsid w:val="2B9C5DE2"/>
    <w:rsid w:val="48124CA4"/>
    <w:rsid w:val="4C291C25"/>
    <w:rsid w:val="6A23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paragraph" w:customStyle="1" w:styleId="10">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paragraph" w:styleId="11">
    <w:name w:val="No Spacing"/>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396</Words>
  <Characters>2262</Characters>
  <Lines>18</Lines>
  <Paragraphs>5</Paragraphs>
  <TotalTime>289</TotalTime>
  <ScaleCrop>false</ScaleCrop>
  <LinksUpToDate>false</LinksUpToDate>
  <CharactersWithSpaces>2653</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2023-04-13T09:28:00Z</dcterms:created>
  <dc:creator>Administrator</dc:creator>
  <cp:lastModifiedBy>Gloria Wu</cp:lastModifiedBy>
  <dcterms:modified xsi:type="dcterms:W3CDTF">2023-12-29T06:21:04Z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CEE8DAD88DB14C2BAA2D1DD40D932DB6_13</vt:lpwstr>
  </property>
</Properties>
</file>