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/>
        <w:jc w:val="center"/>
        <w:outlineLvl w:val="2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“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对标华为与IBM的内部控制与风险管理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”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高级研修班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一、培训背景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近年来，数字化技术迅猛发展，尤其是以ChatGPT 为代表的生成式 AI 技术的发展为我们带来无限畅想。随着经营环境的日益复杂，对财报风险、资金资产风险、税务风险等财务风险的管理难度越来越大。全球“黑天鹅”频飞，由于财务风险导致资产损失、企业倒闭的现象层出不穷。很多人都看到了华为三十多年的高速增长，主要得益于其财务的稳健性，这与华为长期以来对财务风险与内控管理的重视有很大关系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1998年华为全面对标IBM，就是学习其管理体系，提升管理能力，风险管理体系首当其冲。处于成熟中后期的企业，向标杆企业学习管理创新与管理变革的能力至关重要，需要借此重新激发企业活力。为此北京国家会计学院2024年推出《对标华为与IBM的内部控制与风险管理》高级研修班，分析华为与IBM变革、内控和风险管理实践案例，结合学员日常工作中面临的实操性问题进行讲解和讨论，通过研讨、真实案例的分享，使学员达到学有所用的效果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二、培训收益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1.解读华为与IBM内部控制与风险管理框架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2.帮助企业掌握集团公司风险管控能力建设方法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3.帮助企业实现内部控制落地实施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4.帮助企业掌握风险管理理体系建立实施办法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5.帮助学员了解先进企业华为与IBM的内控与风险管理实践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三、培训对象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1.企业董事长、总经理、副总经理、财务总监等企业中高层</w:t>
      </w:r>
    </w:p>
    <w:p>
      <w:pPr>
        <w:adjustRightInd w:val="0"/>
        <w:snapToGrid w:val="0"/>
        <w:spacing w:line="360" w:lineRule="auto"/>
        <w:ind w:right="-420" w:rightChars="-200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2.财务部、审计部、风险管理部、内部控制部、战略发展部相关人员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3.会计师事务所、管理咨询公司等从事管理咨询的相关从业人员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4.高校从事财务审计风险管理理论研究与实务教学的教师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四、培训内容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一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华为内部控制与风险管理框架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1.华为内控及风险管理组织设计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2.华为IFS-BC&amp;IA变革与全景图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3.一点两面三三制的内控运作框架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4.系统剖析内控体系建设与执行机制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5.案例与讨论：华为COSO模型下的内控要素状态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二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华为内部控制流程与风险管理实务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1.华为基于组织架构的责任体系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2.华为基于流程的控制方法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3.华为内控管理工具包：</w:t>
      </w:r>
      <w:r>
        <w:rPr>
          <w:rFonts w:ascii="仿宋" w:hAnsi="仿宋" w:eastAsia="仿宋" w:cs="仿宋"/>
          <w:sz w:val="28"/>
          <w:szCs w:val="28"/>
        </w:rPr>
        <w:t>CT/KCP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PR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SACA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4.华为风险识别与评估：三阶九步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5.华为风险应对与控制：流程内控、非接触式控制、BCM/预案管理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6.华为风险监督与报告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三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IBM 风险识别机制、角色与职责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1.企业风险管理全景图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2.IBM管理团队的战略价值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3.IBM风险因素分析方法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4.IBM模糊综合评价法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ascii="仿宋" w:hAnsi="仿宋" w:eastAsia="仿宋" w:cs="仿宋"/>
          <w:sz w:val="28"/>
          <w:szCs w:val="28"/>
        </w:rPr>
        <w:t>IBM</w:t>
      </w:r>
      <w:r>
        <w:rPr>
          <w:rFonts w:hint="eastAsia" w:ascii="仿宋" w:hAnsi="仿宋" w:eastAsia="仿宋" w:cs="仿宋"/>
          <w:sz w:val="28"/>
          <w:szCs w:val="28"/>
        </w:rPr>
        <w:t>内部控制评价法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6.IBM分析性审查法和定性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四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IBM 风险管理实务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1.IBM的业务流程管理和IT治理机制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2.IBM风险转让与业务运作模式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3.IBM风险回避与业务运作模式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4.IBM风险接受与业务运作模式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5.IBM各部门环节的支持和合作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五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国资监管新要求下企业风险管理体系建设与优化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1.企业风险管理的新趋势、新功能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2.企业风险管理手段的运用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3.企业风险管控构建要点、主要措施与程序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4.企业风险管控构建阶段流程梳理步骤和主要工作内容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5.实施全面风险管理体系建设与优化案例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六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集团风险管控能力建设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企业如何形成风险管控体系循环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集团管控模式下的母子公司管控策略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如何形成集团总部的风险管控循环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如何形成下属公司的风险管控循环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风险管控落地的“一企一策”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七</w:t>
      </w:r>
      <w:r>
        <w:rPr>
          <w:rFonts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运用大数据构建企业风险管控落地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1.大数据在风险管理系统、内部控制系统、内部审计系统的运用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2.电脑代替人脑的智能监控体系落地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3.企业数据化运营新模式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4.企业管控手段与信息化的融合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</w:t>
      </w:r>
      <w:r>
        <w:rPr>
          <w:rFonts w:ascii="仿宋" w:hAnsi="仿宋" w:eastAsia="仿宋" w:cs="仿宋"/>
          <w:b/>
          <w:sz w:val="28"/>
          <w:szCs w:val="28"/>
        </w:rPr>
        <w:t>、师资力量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24"/>
          <w:szCs w:val="24"/>
        </w:rPr>
      </w:pPr>
      <w:r>
        <w:rPr>
          <w:rFonts w:ascii="仿宋" w:hAnsi="仿宋" w:eastAsia="仿宋" w:cs="仿宋"/>
          <w:sz w:val="30"/>
          <w:szCs w:val="30"/>
        </w:rPr>
        <w:t>本课程由北京国家会计学院精心组织的专门师资团队授课。授课老师均具有深厚的理论功底及丰富的实践经验，包括北京国家会计学院教授、实务界资深专家、政策制定者等。具体师资以实际课表为准。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</w:t>
      </w:r>
      <w:r>
        <w:rPr>
          <w:rFonts w:ascii="仿宋" w:hAnsi="仿宋" w:eastAsia="仿宋" w:cs="仿宋"/>
          <w:b/>
          <w:sz w:val="30"/>
          <w:szCs w:val="30"/>
        </w:rPr>
        <w:t>、时间地点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23"/>
        <w:gridCol w:w="1559"/>
        <w:gridCol w:w="2283"/>
        <w:gridCol w:w="1547"/>
        <w:gridCol w:w="14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返程时间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总第1期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4月18日-20日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4月21日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珠海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总第2期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6月23日-25日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6月26日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成都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总第3期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8月25日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8月26日-28日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8月29日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呼号浩特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总第4期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10月22日-24日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总第5期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2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12月3日-5日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</w:t>
      </w:r>
      <w:r>
        <w:rPr>
          <w:rFonts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</w:rPr>
        <w:t>结业证书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完成全部学习后，获得由北京国家会计学院颁发的电子版结业证书。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八</w:t>
      </w:r>
      <w:r>
        <w:rPr>
          <w:rFonts w:ascii="仿宋" w:hAnsi="仿宋" w:eastAsia="仿宋" w:cs="仿宋"/>
          <w:b/>
          <w:sz w:val="30"/>
          <w:szCs w:val="30"/>
        </w:rPr>
        <w:t>、收费标准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培训</w:t>
      </w:r>
      <w:r>
        <w:rPr>
          <w:rFonts w:ascii="仿宋" w:hAnsi="仿宋" w:eastAsia="仿宋" w:cs="仿宋"/>
          <w:sz w:val="30"/>
          <w:szCs w:val="30"/>
        </w:rPr>
        <w:t>费：</w:t>
      </w:r>
      <w:r>
        <w:rPr>
          <w:rFonts w:hint="eastAsia" w:ascii="仿宋" w:hAnsi="仿宋" w:eastAsia="仿宋" w:cs="仿宋"/>
          <w:sz w:val="30"/>
          <w:szCs w:val="30"/>
        </w:rPr>
        <w:t>58</w:t>
      </w:r>
      <w:r>
        <w:rPr>
          <w:rFonts w:ascii="仿宋" w:hAnsi="仿宋" w:eastAsia="仿宋" w:cs="仿宋"/>
          <w:sz w:val="30"/>
          <w:szCs w:val="30"/>
        </w:rPr>
        <w:t xml:space="preserve">00元/人，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在北京国家会计学院举办的培训可提供食宿。就餐为自助餐，收费标准为120元/人天。住宿条件为单人标准间，收费标准普通间340元/人天，商务间550元/人天，新商务间650元/人天（住宿费用含游泳、健身、净娱乐、宽带上网等费用），在京外举办的培训由当地酒店提供食宿，统一安排，费用自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3.缴费方式：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（1）报到时现场扫码支付或手机银行转账；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（2）银行汇款（培训费可汇款，食宿费需当场缴纳现金）：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单位名称：北京国家会计学院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开户行：中国建设银行北京天竺支行（201）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账号：1100 1020 1000 5603 0985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仿宋"/>
          <w:sz w:val="28"/>
          <w:szCs w:val="28"/>
        </w:rPr>
      </w:pPr>
    </w:p>
    <w:p>
      <w:pPr>
        <w:spacing w:line="440" w:lineRule="exact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北京国家会计学院教务部</w:t>
      </w:r>
    </w:p>
    <w:p>
      <w:pPr>
        <w:wordWrap w:val="0"/>
        <w:spacing w:line="440" w:lineRule="exact"/>
        <w:jc w:val="right"/>
        <w:rPr>
          <w:rFonts w:ascii="宋体" w:hAnsi="宋体"/>
          <w:sz w:val="24"/>
          <w:szCs w:val="24"/>
        </w:rPr>
      </w:pPr>
      <w:r>
        <w:rPr>
          <w:rFonts w:hint="eastAsia" w:ascii="楷体" w:hAnsi="楷体" w:eastAsia="楷体"/>
          <w:sz w:val="28"/>
          <w:szCs w:val="28"/>
        </w:rPr>
        <w:t xml:space="preserve">2024年1月  </w:t>
      </w: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《对标华为与IBM的内部控制与风险管理》高级研修班</w:t>
      </w: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报名回执表</w:t>
      </w:r>
    </w:p>
    <w:p>
      <w:pPr>
        <w:spacing w:line="20" w:lineRule="exact"/>
        <w:rPr>
          <w:rFonts w:ascii="宋体" w:hAnsi="宋体"/>
          <w:sz w:val="24"/>
          <w:szCs w:val="24"/>
        </w:rPr>
      </w:pPr>
    </w:p>
    <w:tbl>
      <w:tblPr>
        <w:tblStyle w:val="4"/>
        <w:tblpPr w:leftFromText="180" w:rightFromText="180" w:vertAnchor="text" w:horzAnchor="page" w:tblpX="1455" w:tblpY="156"/>
        <w:tblOverlap w:val="never"/>
        <w:tblW w:w="9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709"/>
        <w:gridCol w:w="709"/>
        <w:gridCol w:w="709"/>
        <w:gridCol w:w="1701"/>
        <w:gridCol w:w="1785"/>
        <w:gridCol w:w="75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56" w:after="156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pacing w:val="-26"/>
                <w:sz w:val="24"/>
                <w:szCs w:val="24"/>
              </w:rPr>
              <w:t>部门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职务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联系电话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课程选择</w:t>
            </w:r>
          </w:p>
        </w:tc>
        <w:tc>
          <w:tcPr>
            <w:tcW w:w="8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</w:rPr>
              <w:t>开班时间：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月；期数：第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期（请在横线中填写）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3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报名咨询：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联系人：李老师     手机：15652426725（同微信）     邮箱：2635131094@qq.com</w:t>
            </w:r>
          </w:p>
          <w:p>
            <w:pPr>
              <w:spacing w:line="360" w:lineRule="auto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注：请将报名回执表填写完整回复到报名邮箱 accountant_cfo@163.com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84DB7"/>
    <w:rsid w:val="00044EC1"/>
    <w:rsid w:val="0005209D"/>
    <w:rsid w:val="000612C8"/>
    <w:rsid w:val="00095841"/>
    <w:rsid w:val="001143F2"/>
    <w:rsid w:val="00216CB1"/>
    <w:rsid w:val="00302567"/>
    <w:rsid w:val="00344D55"/>
    <w:rsid w:val="003867CC"/>
    <w:rsid w:val="003F2F8B"/>
    <w:rsid w:val="00401DE3"/>
    <w:rsid w:val="00422A6B"/>
    <w:rsid w:val="00657A4F"/>
    <w:rsid w:val="00861ED8"/>
    <w:rsid w:val="009A4785"/>
    <w:rsid w:val="009C57D2"/>
    <w:rsid w:val="00A84DB7"/>
    <w:rsid w:val="00AB5F2F"/>
    <w:rsid w:val="00AF18BD"/>
    <w:rsid w:val="00B55252"/>
    <w:rsid w:val="00D973C0"/>
    <w:rsid w:val="00DF52AA"/>
    <w:rsid w:val="00E03568"/>
    <w:rsid w:val="00E77584"/>
    <w:rsid w:val="00F54A20"/>
    <w:rsid w:val="00FD3368"/>
    <w:rsid w:val="04850B30"/>
    <w:rsid w:val="2BCE6B72"/>
    <w:rsid w:val="38DF2658"/>
    <w:rsid w:val="46B00B3C"/>
    <w:rsid w:val="562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2112</Characters>
  <Lines>17</Lines>
  <Paragraphs>4</Paragraphs>
  <TotalTime>163</TotalTime>
  <ScaleCrop>false</ScaleCrop>
  <LinksUpToDate>false</LinksUpToDate>
  <CharactersWithSpaces>2478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2023-12-18T07:44:00Z</dcterms:created>
  <dc:creator>David-Ding</dc:creator>
  <cp:lastModifiedBy>Gloria Wu</cp:lastModifiedBy>
  <dcterms:modified xsi:type="dcterms:W3CDTF">2023-12-29T06:02:46Z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0D2044C8CC5541EFA3CA5D3E276D088D_12</vt:lpwstr>
  </property>
</Properties>
</file>