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36"/>
          <w:szCs w:val="32"/>
        </w:rPr>
      </w:pPr>
      <w:r>
        <w:rPr>
          <w:rFonts w:hint="eastAsia" w:ascii="仿宋_GB2312" w:eastAsia="仿宋_GB2312"/>
          <w:b/>
          <w:sz w:val="36"/>
          <w:szCs w:val="32"/>
        </w:rPr>
        <w:t>“工程建设项目全过程财务管控与审计实务”</w:t>
      </w:r>
    </w:p>
    <w:p>
      <w:pPr>
        <w:spacing w:line="360" w:lineRule="auto"/>
        <w:jc w:val="center"/>
        <w:rPr>
          <w:rFonts w:ascii="仿宋_GB2312" w:eastAsia="仿宋_GB2312"/>
          <w:b/>
          <w:sz w:val="36"/>
          <w:szCs w:val="32"/>
        </w:rPr>
      </w:pPr>
      <w:r>
        <w:rPr>
          <w:rFonts w:hint="eastAsia" w:ascii="仿宋_GB2312" w:eastAsia="仿宋_GB2312"/>
          <w:b/>
          <w:sz w:val="36"/>
          <w:szCs w:val="32"/>
        </w:rPr>
        <w:t>高级研修班</w:t>
      </w:r>
    </w:p>
    <w:p>
      <w:pPr>
        <w:spacing w:line="360" w:lineRule="auto"/>
        <w:jc w:val="center"/>
        <w:rPr>
          <w:rFonts w:ascii="仿宋_GB2312" w:eastAsia="仿宋_GB2312"/>
          <w:b/>
          <w:sz w:val="36"/>
          <w:szCs w:val="32"/>
        </w:rPr>
      </w:pPr>
      <w:r>
        <w:rPr>
          <w:rFonts w:hint="eastAsia" w:ascii="仿宋_GB2312" w:eastAsia="仿宋_GB2312"/>
          <w:b/>
          <w:sz w:val="36"/>
          <w:szCs w:val="32"/>
        </w:rPr>
        <w:t>招生简章</w:t>
      </w:r>
    </w:p>
    <w:p>
      <w:pPr>
        <w:spacing w:line="360" w:lineRule="auto"/>
        <w:rPr>
          <w:rFonts w:ascii="仿宋_GB2312" w:hAnsi="宋体" w:eastAsia="仿宋_GB2312"/>
          <w:b/>
          <w:sz w:val="32"/>
          <w:szCs w:val="32"/>
        </w:rPr>
      </w:pPr>
      <w:r>
        <w:rPr>
          <w:rFonts w:hint="eastAsia" w:ascii="仿宋_GB2312" w:hAnsi="Arial" w:eastAsia="仿宋_GB2312" w:cs="Arial"/>
          <w:b/>
          <w:bCs/>
          <w:color w:val="222222"/>
          <w:kern w:val="0"/>
          <w:sz w:val="32"/>
          <w:szCs w:val="32"/>
        </w:rPr>
        <w:t>一、培训背景</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工程建设项目管理是一项庞大的系统工程，包括前期立项考察、项目评估、招投标、勘察设计、项目咨询、现场施工、竣工验收以及决算等诸多环节，具有资金投入多、时间跨度长、参与建设主体多、风险系数高的特点。特别是随着“一带一路”战略的推进，企业海外工程建设项目日益增多，项目管理更加复杂多变。工程建设项目管理失控不仅会造成经济效益低下，危及企业资金安全，还有可能导致领导层及财务人员的经济责任。因此，工程建设项目的财务管控一直是备受企事业单位关注的难点和重点。</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北京国家会计学院在过去成功举办多期工程审计研修班的基础上，全新推出《工程建设项目全过程财务管控与审计实务》高级研修班。课程将通过剖析工程建设项目全流程管理的核心环节与关键风险点，建立以风险为导向的项目内控制度，讲授工程建设项目全环节审计与全过程财务管控的创新思维和技术方法，系统性提升工程建设项目财务管理水平，保障资金安全。</w:t>
      </w:r>
    </w:p>
    <w:p>
      <w:pPr>
        <w:spacing w:line="360" w:lineRule="auto"/>
        <w:rPr>
          <w:rFonts w:ascii="仿宋_GB2312" w:hAnsi="宋体" w:eastAsia="仿宋_GB2312"/>
          <w:b/>
          <w:bCs/>
          <w:sz w:val="32"/>
          <w:szCs w:val="32"/>
        </w:rPr>
      </w:pPr>
      <w:r>
        <w:rPr>
          <w:rFonts w:hint="eastAsia" w:ascii="仿宋_GB2312" w:hAnsi="宋体" w:eastAsia="仿宋_GB2312"/>
          <w:b/>
          <w:bCs/>
          <w:sz w:val="32"/>
          <w:szCs w:val="32"/>
        </w:rPr>
        <w:t>二、培训内容</w:t>
      </w:r>
    </w:p>
    <w:p>
      <w:pPr>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（一）工程建设项目全过程财务管控</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工程建设项目的特点</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工程建设项目管理存在的重难点问题</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工程建设项目可行性分析</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工程建设项目全过程财务管控的主要内容</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工程建设项目全过程财务管控的主要技术方法</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工程建设项目预算管理与绩效评价</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工程建设项目竣工财务决算</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典型案例分析</w:t>
      </w:r>
    </w:p>
    <w:p>
      <w:pPr>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（二）工程建设项目税务管理</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建立健全工程建设项目税务管理组织机构</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工程建设项目最新税收政策解读</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工程建设项目税务筹划与案例分析</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工程建设项目税务纠纷处理</w:t>
      </w:r>
    </w:p>
    <w:p>
      <w:pPr>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（三）工程建设项目全过程跟踪审计</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工程建设项目全过程跟踪审计的基本思路</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工程建设项目过程跟踪审计的组织与实施</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招标管理与审计</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合同管理与审计</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 xml:space="preserve">工程建设项目财务审计 </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工程建设造价审计与典型案例分析</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工程建设项目经济责任审计</w:t>
      </w:r>
    </w:p>
    <w:p>
      <w:pPr>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（四）工程建设项目内部控制与风险管理</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工程建设项目风险分析</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以风险管理为导向的工程建设项目内控体系构建策略</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工程建设项目内部控制审计</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典型案例分析</w:t>
      </w:r>
    </w:p>
    <w:p>
      <w:pPr>
        <w:spacing w:line="360" w:lineRule="auto"/>
        <w:rPr>
          <w:rFonts w:ascii="仿宋_GB2312" w:hAnsi="宋体" w:eastAsia="仿宋_GB2312"/>
          <w:b/>
          <w:bCs/>
          <w:sz w:val="32"/>
          <w:szCs w:val="32"/>
        </w:rPr>
      </w:pPr>
      <w:r>
        <w:rPr>
          <w:rFonts w:hint="eastAsia" w:ascii="仿宋_GB2312" w:hAnsi="宋体" w:eastAsia="仿宋_GB2312"/>
          <w:b/>
          <w:bCs/>
          <w:sz w:val="32"/>
          <w:szCs w:val="32"/>
        </w:rPr>
        <w:t>三、培训对象</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企业、行政事业单位（包括高校、医院等）负责工程建设项目的财务管理、内部审计、纪委、监察等岗位的负责人及相关人员；</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工程建设项目的业主、施工企业及设计单位的专业管理者；</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会计师事务所、税务师事务所、资产评估机构以及工程造价咨询机构的相关人员；</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高校财务管理、审计等专业教师。</w:t>
      </w:r>
    </w:p>
    <w:p>
      <w:pPr>
        <w:spacing w:line="360" w:lineRule="auto"/>
        <w:rPr>
          <w:rFonts w:ascii="仿宋_GB2312" w:hAnsi="宋体" w:eastAsia="仿宋_GB2312"/>
          <w:b/>
          <w:bCs/>
          <w:sz w:val="32"/>
          <w:szCs w:val="32"/>
        </w:rPr>
      </w:pPr>
      <w:r>
        <w:rPr>
          <w:rFonts w:hint="eastAsia" w:ascii="仿宋_GB2312" w:hAnsi="宋体" w:eastAsia="仿宋_GB2312"/>
          <w:b/>
          <w:bCs/>
          <w:sz w:val="32"/>
          <w:szCs w:val="32"/>
        </w:rPr>
        <w:t>四、培训师资</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所有课程由北京国家会计学院精心组织的专门师资团队授课，授课老师分别来自北京国家会计学院、国内著名高校、建筑施工单位、审计部门、知名企业以及中介机构等，皆具有深厚理论功底及丰富实践经验。具体师资以实际课表为准。</w:t>
      </w:r>
    </w:p>
    <w:p>
      <w:pPr>
        <w:spacing w:line="360" w:lineRule="auto"/>
        <w:rPr>
          <w:rFonts w:ascii="仿宋_GB2312" w:hAnsi="宋体" w:eastAsia="仿宋_GB2312"/>
          <w:b/>
          <w:bCs/>
          <w:sz w:val="32"/>
          <w:szCs w:val="32"/>
        </w:rPr>
      </w:pPr>
      <w:r>
        <w:rPr>
          <w:rFonts w:hint="eastAsia" w:ascii="仿宋_GB2312" w:hAnsi="宋体" w:eastAsia="仿宋_GB2312"/>
          <w:b/>
          <w:bCs/>
          <w:sz w:val="32"/>
          <w:szCs w:val="32"/>
        </w:rPr>
        <w:t>五、培训时间地点</w:t>
      </w:r>
    </w:p>
    <w:tbl>
      <w:tblPr>
        <w:tblStyle w:val="6"/>
        <w:tblW w:w="838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Layout w:type="fixed"/>
        <w:tblCellMar>
          <w:top w:w="15" w:type="dxa"/>
          <w:left w:w="15" w:type="dxa"/>
          <w:bottom w:w="15" w:type="dxa"/>
          <w:right w:w="15" w:type="dxa"/>
        </w:tblCellMar>
      </w:tblPr>
      <w:tblGrid>
        <w:gridCol w:w="3014"/>
        <w:gridCol w:w="2130"/>
        <w:gridCol w:w="2060"/>
        <w:gridCol w:w="11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15" w:type="dxa"/>
            <w:left w:w="15" w:type="dxa"/>
            <w:bottom w:w="15" w:type="dxa"/>
            <w:right w:w="15" w:type="dxa"/>
          </w:tblCellMar>
        </w:tblPrEx>
        <w:tc>
          <w:tcPr>
            <w:tcW w:w="3014"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报到时间</w:t>
            </w:r>
          </w:p>
        </w:tc>
        <w:tc>
          <w:tcPr>
            <w:tcW w:w="213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培训时间</w:t>
            </w:r>
          </w:p>
        </w:tc>
        <w:tc>
          <w:tcPr>
            <w:tcW w:w="206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结束时间</w:t>
            </w:r>
          </w:p>
        </w:tc>
        <w:tc>
          <w:tcPr>
            <w:tcW w:w="1185"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培训地点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15" w:type="dxa"/>
            <w:left w:w="15" w:type="dxa"/>
            <w:bottom w:w="15" w:type="dxa"/>
            <w:right w:w="15" w:type="dxa"/>
          </w:tblCellMar>
        </w:tblPrEx>
        <w:tc>
          <w:tcPr>
            <w:tcW w:w="3014"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5</w:t>
            </w:r>
            <w:r>
              <w:rPr>
                <w:rFonts w:ascii="仿宋_GB2312" w:hAnsi="仿宋_GB2312" w:eastAsia="仿宋_GB2312" w:cs="仿宋_GB2312"/>
                <w:color w:val="535455"/>
                <w:sz w:val="28"/>
                <w:szCs w:val="28"/>
              </w:rPr>
              <w:t>月27日全天</w:t>
            </w:r>
          </w:p>
        </w:tc>
        <w:tc>
          <w:tcPr>
            <w:tcW w:w="213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5</w:t>
            </w:r>
            <w:r>
              <w:rPr>
                <w:rFonts w:ascii="仿宋_GB2312" w:hAnsi="仿宋_GB2312" w:eastAsia="仿宋_GB2312" w:cs="仿宋_GB2312"/>
                <w:color w:val="535455"/>
                <w:sz w:val="28"/>
                <w:szCs w:val="28"/>
              </w:rPr>
              <w:t>月28日-3</w:t>
            </w:r>
            <w:r>
              <w:rPr>
                <w:rFonts w:hint="eastAsia" w:ascii="仿宋_GB2312" w:hAnsi="仿宋_GB2312" w:eastAsia="仿宋_GB2312" w:cs="仿宋_GB2312"/>
                <w:color w:val="535455"/>
                <w:sz w:val="28"/>
                <w:szCs w:val="28"/>
                <w:lang w:val="en-US" w:eastAsia="zh-CN"/>
              </w:rPr>
              <w:t>0</w:t>
            </w:r>
            <w:r>
              <w:rPr>
                <w:rFonts w:ascii="仿宋_GB2312" w:hAnsi="仿宋_GB2312" w:eastAsia="仿宋_GB2312" w:cs="仿宋_GB2312"/>
                <w:color w:val="535455"/>
                <w:sz w:val="28"/>
                <w:szCs w:val="28"/>
              </w:rPr>
              <w:t>日</w:t>
            </w:r>
          </w:p>
        </w:tc>
        <w:tc>
          <w:tcPr>
            <w:tcW w:w="206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3月3</w:t>
            </w:r>
            <w:r>
              <w:rPr>
                <w:rFonts w:hint="eastAsia" w:ascii="仿宋_GB2312" w:hAnsi="仿宋_GB2312" w:eastAsia="仿宋_GB2312" w:cs="仿宋_GB2312"/>
                <w:color w:val="535455"/>
                <w:sz w:val="28"/>
                <w:szCs w:val="28"/>
                <w:lang w:val="en-US" w:eastAsia="zh-CN"/>
              </w:rPr>
              <w:t>0</w:t>
            </w:r>
            <w:r>
              <w:rPr>
                <w:rFonts w:ascii="仿宋_GB2312" w:hAnsi="仿宋_GB2312" w:eastAsia="仿宋_GB2312" w:cs="仿宋_GB2312"/>
                <w:color w:val="535455"/>
                <w:sz w:val="28"/>
                <w:szCs w:val="28"/>
              </w:rPr>
              <w:t>日17点</w:t>
            </w:r>
          </w:p>
        </w:tc>
        <w:tc>
          <w:tcPr>
            <w:tcW w:w="1185"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北京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15" w:type="dxa"/>
            <w:left w:w="15" w:type="dxa"/>
            <w:bottom w:w="15" w:type="dxa"/>
            <w:right w:w="15" w:type="dxa"/>
          </w:tblCellMar>
        </w:tblPrEx>
        <w:tc>
          <w:tcPr>
            <w:tcW w:w="3014"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10</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22</w:t>
            </w:r>
            <w:r>
              <w:rPr>
                <w:rFonts w:ascii="仿宋_GB2312" w:hAnsi="仿宋_GB2312" w:eastAsia="仿宋_GB2312" w:cs="仿宋_GB2312"/>
                <w:color w:val="535455"/>
                <w:sz w:val="28"/>
                <w:szCs w:val="28"/>
              </w:rPr>
              <w:t>日全天</w:t>
            </w:r>
          </w:p>
        </w:tc>
        <w:tc>
          <w:tcPr>
            <w:tcW w:w="213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10</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23</w:t>
            </w:r>
            <w:r>
              <w:rPr>
                <w:rFonts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25</w:t>
            </w:r>
            <w:r>
              <w:rPr>
                <w:rFonts w:ascii="仿宋_GB2312" w:hAnsi="仿宋_GB2312" w:eastAsia="仿宋_GB2312" w:cs="仿宋_GB2312"/>
                <w:color w:val="535455"/>
                <w:sz w:val="28"/>
                <w:szCs w:val="28"/>
              </w:rPr>
              <w:t>日</w:t>
            </w:r>
          </w:p>
        </w:tc>
        <w:tc>
          <w:tcPr>
            <w:tcW w:w="206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10</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25</w:t>
            </w:r>
            <w:r>
              <w:rPr>
                <w:rFonts w:ascii="仿宋_GB2312" w:hAnsi="仿宋_GB2312" w:eastAsia="仿宋_GB2312" w:cs="仿宋_GB2312"/>
                <w:color w:val="535455"/>
                <w:sz w:val="28"/>
                <w:szCs w:val="28"/>
              </w:rPr>
              <w:t>日17点</w:t>
            </w:r>
          </w:p>
        </w:tc>
        <w:tc>
          <w:tcPr>
            <w:tcW w:w="1185"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hint="eastAsia" w:ascii="仿宋_GB2312" w:hAnsi="仿宋_GB2312" w:eastAsia="仿宋_GB2312" w:cs="仿宋_GB2312"/>
                <w:color w:val="535455"/>
                <w:sz w:val="28"/>
                <w:szCs w:val="28"/>
                <w:lang w:val="en-US" w:eastAsia="zh-CN"/>
              </w:rPr>
            </w:pPr>
            <w:r>
              <w:rPr>
                <w:rFonts w:hint="eastAsia" w:ascii="仿宋_GB2312" w:hAnsi="仿宋_GB2312" w:eastAsia="仿宋_GB2312" w:cs="仿宋_GB2312"/>
                <w:color w:val="535455"/>
                <w:sz w:val="28"/>
                <w:szCs w:val="28"/>
                <w:lang w:val="en-US" w:eastAsia="zh-CN"/>
              </w:rPr>
              <w:t>厦门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15" w:type="dxa"/>
            <w:left w:w="15" w:type="dxa"/>
            <w:bottom w:w="15" w:type="dxa"/>
            <w:right w:w="15" w:type="dxa"/>
          </w:tblCellMar>
        </w:tblPrEx>
        <w:tc>
          <w:tcPr>
            <w:tcW w:w="3014"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11</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26</w:t>
            </w:r>
            <w:r>
              <w:rPr>
                <w:rFonts w:ascii="仿宋_GB2312" w:hAnsi="仿宋_GB2312" w:eastAsia="仿宋_GB2312" w:cs="仿宋_GB2312"/>
                <w:color w:val="535455"/>
                <w:sz w:val="28"/>
                <w:szCs w:val="28"/>
              </w:rPr>
              <w:t>日全天</w:t>
            </w:r>
          </w:p>
        </w:tc>
        <w:tc>
          <w:tcPr>
            <w:tcW w:w="213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11</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27</w:t>
            </w:r>
            <w:r>
              <w:rPr>
                <w:rFonts w:ascii="仿宋_GB2312" w:hAnsi="仿宋_GB2312" w:eastAsia="仿宋_GB2312" w:cs="仿宋_GB2312"/>
                <w:color w:val="535455"/>
                <w:sz w:val="28"/>
                <w:szCs w:val="28"/>
              </w:rPr>
              <w:t>日-2</w:t>
            </w:r>
            <w:r>
              <w:rPr>
                <w:rFonts w:hint="eastAsia" w:ascii="仿宋_GB2312" w:hAnsi="仿宋_GB2312" w:eastAsia="仿宋_GB2312" w:cs="仿宋_GB2312"/>
                <w:color w:val="535455"/>
                <w:sz w:val="28"/>
                <w:szCs w:val="28"/>
                <w:lang w:val="en-US" w:eastAsia="zh-CN"/>
              </w:rPr>
              <w:t>9</w:t>
            </w:r>
            <w:r>
              <w:rPr>
                <w:rFonts w:ascii="仿宋_GB2312" w:hAnsi="仿宋_GB2312" w:eastAsia="仿宋_GB2312" w:cs="仿宋_GB2312"/>
                <w:color w:val="535455"/>
                <w:sz w:val="28"/>
                <w:szCs w:val="28"/>
              </w:rPr>
              <w:t>日</w:t>
            </w:r>
          </w:p>
        </w:tc>
        <w:tc>
          <w:tcPr>
            <w:tcW w:w="2060"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11</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29</w:t>
            </w:r>
            <w:r>
              <w:rPr>
                <w:rFonts w:ascii="仿宋_GB2312" w:hAnsi="仿宋_GB2312" w:eastAsia="仿宋_GB2312" w:cs="仿宋_GB2312"/>
                <w:color w:val="535455"/>
                <w:sz w:val="28"/>
                <w:szCs w:val="28"/>
              </w:rPr>
              <w:t>日17点</w:t>
            </w:r>
          </w:p>
        </w:tc>
        <w:tc>
          <w:tcPr>
            <w:tcW w:w="1185" w:type="dxa"/>
            <w:tcBorders>
              <w:top w:val="outset" w:color="auto" w:sz="6" w:space="0"/>
              <w:left w:val="outset" w:color="auto" w:sz="6" w:space="0"/>
              <w:bottom w:val="outset" w:color="auto" w:sz="6" w:space="0"/>
              <w:right w:val="outset" w:color="auto" w:sz="6" w:space="0"/>
            </w:tcBorders>
            <w:shd w:val="clear" w:color="auto" w:fill="F2F6F7"/>
            <w:noWrap/>
            <w:vAlign w:val="center"/>
          </w:tcPr>
          <w:p>
            <w:pPr>
              <w:pStyle w:val="5"/>
              <w:spacing w:before="0" w:beforeAutospacing="0" w:after="0" w:afterAutospacing="0" w:line="360" w:lineRule="auto"/>
              <w:jc w:val="center"/>
              <w:rPr>
                <w:rFonts w:hint="eastAsia" w:ascii="仿宋_GB2312" w:hAnsi="仿宋_GB2312" w:eastAsia="仿宋_GB2312" w:cs="仿宋_GB2312"/>
                <w:color w:val="535455"/>
                <w:sz w:val="28"/>
                <w:szCs w:val="28"/>
                <w:lang w:val="en-US" w:eastAsia="zh-CN"/>
              </w:rPr>
            </w:pPr>
            <w:r>
              <w:rPr>
                <w:rFonts w:hint="eastAsia" w:ascii="仿宋_GB2312" w:hAnsi="仿宋_GB2312" w:eastAsia="仿宋_GB2312" w:cs="仿宋_GB2312"/>
                <w:color w:val="535455"/>
                <w:sz w:val="28"/>
                <w:szCs w:val="28"/>
                <w:lang w:val="en-US" w:eastAsia="zh-CN"/>
              </w:rPr>
              <w:t>上海</w:t>
            </w:r>
          </w:p>
        </w:tc>
      </w:tr>
    </w:tbl>
    <w:p>
      <w:pPr>
        <w:spacing w:line="360" w:lineRule="auto"/>
        <w:outlineLvl w:val="2"/>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六、收费标准及缴费方式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1.收费标准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lang w:val="zh-CN"/>
        </w:rPr>
        <w:t>培训费：人民币</w:t>
      </w:r>
      <w:r>
        <w:rPr>
          <w:rFonts w:hint="eastAsia" w:ascii="仿宋_GB2312" w:hAnsi="华文仿宋" w:eastAsia="仿宋_GB2312" w:cs="华文仿宋"/>
          <w:color w:val="000000"/>
          <w:kern w:val="0"/>
          <w:sz w:val="32"/>
          <w:szCs w:val="32"/>
          <w:lang w:val="en-US" w:eastAsia="zh-CN"/>
        </w:rPr>
        <w:t>3600</w:t>
      </w:r>
      <w:r>
        <w:rPr>
          <w:rFonts w:ascii="仿宋_GB2312" w:hAnsi="华文仿宋" w:eastAsia="仿宋_GB2312" w:cs="华文仿宋"/>
          <w:color w:val="000000"/>
          <w:kern w:val="0"/>
          <w:sz w:val="32"/>
          <w:szCs w:val="32"/>
          <w:lang w:val="zh-CN"/>
        </w:rPr>
        <w:t>元/人</w:t>
      </w:r>
      <w:r>
        <w:rPr>
          <w:rFonts w:ascii="仿宋_GB2312" w:hAnsi="华文仿宋" w:eastAsia="仿宋_GB2312" w:cs="华文仿宋"/>
          <w:color w:val="000000"/>
          <w:kern w:val="0"/>
          <w:sz w:val="32"/>
          <w:szCs w:val="32"/>
        </w:rPr>
        <w:t>（不含食宿）。</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食宿费：住宿房型、食宿标准以及支付方式详见开课通知。</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2.缴费方式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学员报到时可现场刷储蓄卡、信用卡或者通过微信扫码、银行汇款等方式支付培训费。扫码支付可立即开具电子发票。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汇款信息如下：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单位名称：北京国家会计学院</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汇款账号：1100 1020 1000 5603 0985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开户行：中国建设银行北京天竺支行（201）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3" w:firstLineChars="200"/>
        <w:rPr>
          <w:rFonts w:ascii="仿宋_GB2312" w:hAnsi="华文仿宋" w:eastAsia="仿宋_GB2312" w:cs="华文仿宋"/>
          <w:color w:val="000000"/>
          <w:kern w:val="0"/>
          <w:sz w:val="32"/>
          <w:szCs w:val="32"/>
        </w:rPr>
      </w:pPr>
      <w:r>
        <w:rPr>
          <w:rFonts w:ascii="仿宋_GB2312" w:hAnsi="华文仿宋" w:eastAsia="仿宋_GB2312" w:cs="华文仿宋"/>
          <w:b/>
          <w:bCs/>
          <w:color w:val="000000"/>
          <w:kern w:val="0"/>
          <w:sz w:val="32"/>
          <w:szCs w:val="32"/>
        </w:rPr>
        <w:t>特别提示：</w:t>
      </w:r>
      <w:r>
        <w:rPr>
          <w:rFonts w:ascii="仿宋_GB2312" w:hAnsi="华文仿宋" w:eastAsia="仿宋_GB2312" w:cs="华文仿宋"/>
          <w:color w:val="000000"/>
          <w:kern w:val="0"/>
          <w:sz w:val="32"/>
          <w:szCs w:val="32"/>
        </w:rPr>
        <w:t>培训班如确定开班，学院将在</w:t>
      </w:r>
      <w:bookmarkStart w:id="0" w:name="_GoBack"/>
      <w:bookmarkEnd w:id="0"/>
      <w:r>
        <w:rPr>
          <w:rFonts w:ascii="仿宋_GB2312" w:hAnsi="华文仿宋" w:eastAsia="仿宋_GB2312" w:cs="华文仿宋"/>
          <w:color w:val="000000"/>
          <w:kern w:val="0"/>
          <w:sz w:val="32"/>
          <w:szCs w:val="32"/>
        </w:rPr>
        <w:t>开班前一周给学员发送《开课通知》。如因报名人数低于开班人数要求，学院有权取消该班，对学员已缴纳的费用予以全额退还，但不承担任何赔偿。对任何因信赖该班可以如期举行而导致的任何直接、间接损失，包括但不限于差旅费损失、误工费损失等，学院均不承担法律责任。</w:t>
      </w:r>
    </w:p>
    <w:p>
      <w:pPr>
        <w:spacing w:line="360" w:lineRule="auto"/>
        <w:outlineLvl w:val="2"/>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七、结业及考核</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b/>
          <w:bCs/>
          <w:color w:val="000000"/>
          <w:kern w:val="0"/>
          <w:sz w:val="32"/>
          <w:szCs w:val="32"/>
          <w:lang w:val="zh-CN"/>
        </w:rPr>
      </w:pPr>
      <w:r>
        <w:rPr>
          <w:rFonts w:ascii="仿宋_GB2312" w:hAnsi="华文仿宋" w:eastAsia="仿宋_GB2312" w:cs="华文仿宋"/>
          <w:color w:val="000000"/>
          <w:kern w:val="0"/>
          <w:sz w:val="32"/>
          <w:szCs w:val="32"/>
          <w:lang w:val="zh-CN"/>
        </w:rPr>
        <w:t>完成全部课程学习，</w:t>
      </w:r>
      <w:r>
        <w:rPr>
          <w:rFonts w:ascii="仿宋_GB2312" w:hAnsi="华文仿宋" w:eastAsia="仿宋_GB2312" w:cs="华文仿宋"/>
          <w:color w:val="000000"/>
          <w:kern w:val="0"/>
          <w:sz w:val="32"/>
          <w:szCs w:val="32"/>
        </w:rPr>
        <w:t>学员可获得</w:t>
      </w:r>
      <w:r>
        <w:rPr>
          <w:rFonts w:ascii="仿宋_GB2312" w:hAnsi="华文仿宋" w:eastAsia="仿宋_GB2312" w:cs="华文仿宋"/>
          <w:color w:val="000000"/>
          <w:kern w:val="0"/>
          <w:sz w:val="32"/>
          <w:szCs w:val="32"/>
          <w:lang w:val="zh-CN"/>
        </w:rPr>
        <w:t>北京国家会计学院</w:t>
      </w:r>
      <w:r>
        <w:rPr>
          <w:rFonts w:ascii="仿宋_GB2312" w:hAnsi="华文仿宋" w:eastAsia="仿宋_GB2312" w:cs="华文仿宋"/>
          <w:color w:val="000000"/>
          <w:kern w:val="0"/>
          <w:sz w:val="32"/>
          <w:szCs w:val="32"/>
        </w:rPr>
        <w:t>颁发的研修班</w:t>
      </w:r>
      <w:r>
        <w:rPr>
          <w:rFonts w:ascii="仿宋_GB2312" w:hAnsi="华文仿宋" w:eastAsia="仿宋_GB2312" w:cs="华文仿宋"/>
          <w:color w:val="000000"/>
          <w:kern w:val="0"/>
          <w:sz w:val="32"/>
          <w:szCs w:val="32"/>
          <w:lang w:val="zh-CN"/>
        </w:rPr>
        <w:t>结业证书（</w:t>
      </w:r>
      <w:r>
        <w:rPr>
          <w:rFonts w:ascii="仿宋_GB2312" w:hAnsi="华文仿宋" w:eastAsia="仿宋_GB2312" w:cs="华文仿宋"/>
          <w:color w:val="000000"/>
          <w:kern w:val="0"/>
          <w:sz w:val="32"/>
          <w:szCs w:val="32"/>
        </w:rPr>
        <w:t>电子版</w:t>
      </w:r>
      <w:r>
        <w:rPr>
          <w:rFonts w:ascii="仿宋_GB2312" w:hAnsi="华文仿宋" w:eastAsia="仿宋_GB2312" w:cs="华文仿宋"/>
          <w:color w:val="000000"/>
          <w:kern w:val="0"/>
          <w:sz w:val="32"/>
          <w:szCs w:val="32"/>
          <w:lang w:val="zh-CN"/>
        </w:rPr>
        <w:t>）。</w:t>
      </w:r>
    </w:p>
    <w:p>
      <w:pPr>
        <w:widowControl/>
        <w:shd w:val="clear" w:color="auto" w:fill="FFFFFF"/>
        <w:spacing w:line="360" w:lineRule="auto"/>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八、联系我们</w:t>
      </w:r>
    </w:p>
    <w:p>
      <w:pPr>
        <w:widowControl/>
        <w:shd w:val="clear" w:color="auto" w:fill="FFFFFF"/>
        <w:spacing w:line="360" w:lineRule="auto"/>
        <w:ind w:firstLine="660" w:firstLineChars="200"/>
        <w:rPr>
          <w:rFonts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联系人：吴老师</w:t>
      </w:r>
    </w:p>
    <w:p>
      <w:pPr>
        <w:widowControl/>
        <w:shd w:val="clear" w:color="auto" w:fill="FFFFFF"/>
        <w:spacing w:line="360" w:lineRule="auto"/>
        <w:ind w:firstLine="660" w:firstLineChars="200"/>
        <w:rPr>
          <w:rFonts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电话：010-64505065</w:t>
      </w:r>
    </w:p>
    <w:p>
      <w:pPr>
        <w:widowControl/>
        <w:shd w:val="clear" w:color="auto" w:fill="FFFFFF"/>
        <w:spacing w:line="360" w:lineRule="auto"/>
        <w:ind w:firstLine="660" w:firstLineChars="200"/>
        <w:rPr>
          <w:rFonts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邮箱：wut@</w:t>
      </w:r>
      <w:r>
        <w:rPr>
          <w:rFonts w:ascii="仿宋_GB2312" w:hAnsi="华文仿宋" w:eastAsia="仿宋_GB2312" w:cs="华文仿宋"/>
          <w:spacing w:val="5"/>
          <w:kern w:val="0"/>
          <w:sz w:val="32"/>
          <w:szCs w:val="32"/>
        </w:rPr>
        <w:t>mail.</w:t>
      </w:r>
      <w:r>
        <w:rPr>
          <w:rFonts w:hint="eastAsia" w:ascii="仿宋_GB2312" w:hAnsi="华文仿宋" w:eastAsia="仿宋_GB2312" w:cs="华文仿宋"/>
          <w:spacing w:val="5"/>
          <w:kern w:val="0"/>
          <w:sz w:val="32"/>
          <w:szCs w:val="32"/>
        </w:rPr>
        <w:t>nai.</w:t>
      </w:r>
      <w:r>
        <w:rPr>
          <w:rFonts w:ascii="仿宋_GB2312" w:hAnsi="华文仿宋" w:eastAsia="仿宋_GB2312" w:cs="华文仿宋"/>
          <w:spacing w:val="5"/>
          <w:kern w:val="0"/>
          <w:sz w:val="32"/>
          <w:szCs w:val="32"/>
        </w:rPr>
        <w:t>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3NWU3ZWNiMzgzNzAwZWVhYzBhOWY3ZTkwYzQyMjUifQ=="/>
  </w:docVars>
  <w:rsids>
    <w:rsidRoot w:val="565B68C4"/>
    <w:rsid w:val="00234142"/>
    <w:rsid w:val="00344FC8"/>
    <w:rsid w:val="00414BEB"/>
    <w:rsid w:val="005A6D16"/>
    <w:rsid w:val="008F4F6B"/>
    <w:rsid w:val="00C7712E"/>
    <w:rsid w:val="00DF51BF"/>
    <w:rsid w:val="00EC06E9"/>
    <w:rsid w:val="00F7274F"/>
    <w:rsid w:val="00F828D7"/>
    <w:rsid w:val="0E0956B6"/>
    <w:rsid w:val="0ED02959"/>
    <w:rsid w:val="17DF69B5"/>
    <w:rsid w:val="1BF60DC3"/>
    <w:rsid w:val="1F386276"/>
    <w:rsid w:val="28766207"/>
    <w:rsid w:val="2942458B"/>
    <w:rsid w:val="48593A02"/>
    <w:rsid w:val="495655DD"/>
    <w:rsid w:val="4FAD236D"/>
    <w:rsid w:val="565B68C4"/>
    <w:rsid w:val="579B1F5D"/>
    <w:rsid w:val="74F4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qFormat/>
    <w:uiPriority w:val="0"/>
    <w:rPr>
      <w:color w:val="666666"/>
      <w:u w:val="none"/>
    </w:rPr>
  </w:style>
  <w:style w:type="paragraph" w:styleId="9">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275</Words>
  <Characters>1569</Characters>
  <Lines>13</Lines>
  <Paragraphs>3</Paragraphs>
  <TotalTime>29</TotalTime>
  <ScaleCrop>false</ScaleCrop>
  <LinksUpToDate>false</LinksUpToDate>
  <CharactersWithSpaces>1841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2022-01-19T06:49:00Z</dcterms:created>
  <dc:creator>Administrator</dc:creator>
  <cp:lastModifiedBy>吴彤</cp:lastModifiedBy>
  <dcterms:modified xsi:type="dcterms:W3CDTF">2023-12-27T10:38:10Z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E365F9EF5E4F494980F5547D7BC45B33_12</vt:lpwstr>
  </property>
</Properties>
</file>