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FangSong_GB2312" w:hAnsi="FangSong_GB2312" w:eastAsia="FangSong_GB2312" w:cs="FangSong_GB2312"/>
          <w:b/>
          <w:bCs/>
          <w:sz w:val="36"/>
          <w:szCs w:val="36"/>
        </w:rPr>
      </w:pPr>
      <w:r>
        <w:rPr>
          <w:rFonts w:hint="eastAsia" w:ascii="FangSong_GB2312" w:hAnsi="FangSong_GB2312" w:eastAsia="FangSong_GB2312" w:cs="FangSong_GB2312"/>
          <w:b/>
          <w:bCs/>
          <w:sz w:val="36"/>
          <w:szCs w:val="36"/>
        </w:rPr>
        <w:t>“</w:t>
      </w:r>
      <w:r>
        <w:rPr>
          <w:rFonts w:hint="eastAsia" w:ascii="FangSong_GB2312" w:hAnsi="FangSong_GB2312" w:eastAsia="FangSong_GB2312" w:cs="FangSong_GB2312"/>
          <w:b/>
          <w:bCs/>
          <w:sz w:val="36"/>
          <w:szCs w:val="36"/>
          <w:lang w:eastAsia="zh-CN"/>
        </w:rPr>
        <w:t>财会监督</w:t>
      </w:r>
      <w:r>
        <w:rPr>
          <w:rFonts w:hint="eastAsia" w:ascii="FangSong_GB2312" w:hAnsi="FangSong_GB2312" w:eastAsia="FangSong_GB2312" w:cs="FangSong_GB2312"/>
          <w:b/>
          <w:bCs/>
          <w:sz w:val="36"/>
          <w:szCs w:val="36"/>
        </w:rPr>
        <w:t>下企业财务合规管理体系建设”高级研修班招生简章</w:t>
      </w:r>
    </w:p>
    <w:p>
      <w:pPr>
        <w:spacing w:line="360" w:lineRule="auto"/>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一、培训背景</w:t>
      </w:r>
    </w:p>
    <w:p>
      <w:pPr>
        <w:spacing w:line="360" w:lineRule="auto"/>
        <w:ind w:firstLine="640" w:firstLineChars="200"/>
        <w:rPr>
          <w:rFonts w:ascii="仿宋" w:hAnsi="仿宋" w:eastAsia="仿宋" w:cs="Calibri"/>
          <w:sz w:val="32"/>
          <w:szCs w:val="32"/>
        </w:rPr>
      </w:pPr>
      <w:r>
        <w:rPr>
          <w:rFonts w:ascii="仿宋" w:hAnsi="仿宋" w:eastAsia="仿宋" w:cs="Calibri"/>
          <w:sz w:val="32"/>
          <w:szCs w:val="32"/>
        </w:rPr>
        <w:t>当前，我国正处于加快构建以国内大循环为主体、国内国际双循环相互促进的新发展格局，处于这种经济转型发展特定时期的企业面临着产能过剩带来的市场低迷、宏观调控政策难度加大等诸多风险，对企业风险管控能力提出了更高的要求。从财务视角看，上级监管部门密集的审计巡视对企业遵守财经纪律具有督促作用，能确保企业财务管理合法合规。对于资本市场来说，严格要求财务信息合法合规，能够显著增强投资回报的可靠性。企业高管层人员更需要及时掌握财务的真实状况，根据风险防范要求合理调整经营方向，为企业战略的顺利实施提供保障。因此，加强财务合规性建设具有深远的意义与影响。</w:t>
      </w:r>
    </w:p>
    <w:p>
      <w:pPr>
        <w:spacing w:line="360" w:lineRule="auto"/>
        <w:ind w:firstLine="640" w:firstLineChars="200"/>
        <w:rPr>
          <w:rFonts w:ascii="仿宋" w:hAnsi="仿宋" w:eastAsia="仿宋" w:cs="Calibri"/>
          <w:sz w:val="32"/>
          <w:szCs w:val="32"/>
        </w:rPr>
      </w:pPr>
      <w:r>
        <w:rPr>
          <w:rFonts w:ascii="仿宋" w:hAnsi="仿宋" w:eastAsia="仿宋" w:cs="Calibri"/>
          <w:sz w:val="32"/>
          <w:szCs w:val="32"/>
        </w:rPr>
        <w:t>在中国经济步入新常态的形势下，财务合规体系的建设对于国有企业来说至关重要。北京国家会计学院推出“新形势下企业财务合规管理体系建设”高级研修班，课程将通过对中央企业财务合规管理中的问题及其成因的分析，理清财务合规管理体系搭建思路，构建出包括五个主要内容和七大保障措施在内的基本框架，为中央及其他国有企业加强财务合规管理提供参考。</w:t>
      </w:r>
    </w:p>
    <w:p>
      <w:pPr>
        <w:spacing w:line="360" w:lineRule="auto"/>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二、培训收益</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1</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帮助企业了解财务合规风险问题成因；</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帮助学员掌握财务合规风险问题应对办法；</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3</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学习一流企业财务合规管理体系建设案例；</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4</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助力企业建设高效的财务合规管理体系；</w:t>
      </w:r>
    </w:p>
    <w:p>
      <w:pPr>
        <w:spacing w:line="360" w:lineRule="auto"/>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三</w:t>
      </w:r>
      <w:r>
        <w:rPr>
          <w:rFonts w:ascii="FangSong_GB2312" w:hAnsi="FangSong_GB2312" w:eastAsia="FangSong_GB2312" w:cs="FangSong_GB2312"/>
          <w:b/>
          <w:bCs/>
          <w:sz w:val="32"/>
          <w:szCs w:val="32"/>
        </w:rPr>
        <w:t>、</w:t>
      </w:r>
      <w:r>
        <w:rPr>
          <w:rFonts w:hint="eastAsia" w:ascii="FangSong_GB2312" w:hAnsi="FangSong_GB2312" w:eastAsia="FangSong_GB2312" w:cs="FangSong_GB2312"/>
          <w:b/>
          <w:bCs/>
          <w:sz w:val="32"/>
          <w:szCs w:val="32"/>
        </w:rPr>
        <w:t>培训对象</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1</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分管财务的副总经理、总会计师、财务总监等职能部门领导；</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财务部长、财务经理与负责财务分析和相关人员；</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3</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从事财务管理的事务所、中介机构。</w:t>
      </w:r>
    </w:p>
    <w:p>
      <w:pPr>
        <w:spacing w:line="360" w:lineRule="auto"/>
        <w:rPr>
          <w:rFonts w:hint="eastAsia"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四</w:t>
      </w:r>
      <w:r>
        <w:rPr>
          <w:rFonts w:ascii="FangSong_GB2312" w:hAnsi="FangSong_GB2312" w:eastAsia="FangSong_GB2312" w:cs="FangSong_GB2312"/>
          <w:b/>
          <w:bCs/>
          <w:sz w:val="32"/>
          <w:szCs w:val="32"/>
        </w:rPr>
        <w:t>、</w:t>
      </w:r>
      <w:r>
        <w:rPr>
          <w:rFonts w:hint="eastAsia" w:ascii="FangSong_GB2312" w:hAnsi="FangSong_GB2312" w:eastAsia="FangSong_GB2312" w:cs="FangSong_GB2312"/>
          <w:b/>
          <w:bCs/>
          <w:sz w:val="32"/>
          <w:szCs w:val="32"/>
        </w:rPr>
        <w:t>培训内容</w:t>
      </w:r>
    </w:p>
    <w:p>
      <w:pPr>
        <w:spacing w:line="360" w:lineRule="auto"/>
        <w:ind w:firstLine="643" w:firstLineChars="200"/>
        <w:rPr>
          <w:rFonts w:hint="eastAsia"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（一）《关于进一步加强财会监督工作的意见》解读</w:t>
      </w:r>
    </w:p>
    <w:p>
      <w:pPr>
        <w:spacing w:line="360" w:lineRule="auto"/>
        <w:ind w:firstLine="640" w:firstLineChars="200"/>
        <w:rPr>
          <w:rFonts w:hint="eastAsia" w:ascii="FangSong_GB2312" w:hAnsi="FangSong_GB2312" w:eastAsia="FangSong_GB2312" w:cs="FangSong_GB2312"/>
          <w:b w:val="0"/>
          <w:bCs w:val="0"/>
          <w:sz w:val="32"/>
          <w:szCs w:val="32"/>
        </w:rPr>
      </w:pPr>
      <w:r>
        <w:rPr>
          <w:rFonts w:hint="eastAsia" w:ascii="FangSong_GB2312" w:hAnsi="FangSong_GB2312" w:eastAsia="FangSong_GB2312" w:cs="FangSong_GB2312"/>
          <w:b w:val="0"/>
          <w:bCs w:val="0"/>
          <w:sz w:val="32"/>
          <w:szCs w:val="32"/>
        </w:rPr>
        <w:t>1.《意见》对新形势下财务合规监督进行全方位的阐述</w:t>
      </w:r>
    </w:p>
    <w:p>
      <w:pPr>
        <w:spacing w:line="360" w:lineRule="auto"/>
        <w:ind w:firstLine="640" w:firstLineChars="200"/>
        <w:rPr>
          <w:rFonts w:hint="eastAsia" w:ascii="FangSong_GB2312" w:hAnsi="FangSong_GB2312" w:eastAsia="FangSong_GB2312" w:cs="FangSong_GB2312"/>
          <w:b w:val="0"/>
          <w:bCs w:val="0"/>
          <w:sz w:val="32"/>
          <w:szCs w:val="32"/>
        </w:rPr>
      </w:pPr>
      <w:r>
        <w:rPr>
          <w:rFonts w:hint="eastAsia" w:ascii="FangSong_GB2312" w:hAnsi="FangSong_GB2312" w:eastAsia="FangSong_GB2312" w:cs="FangSong_GB2312"/>
          <w:b w:val="0"/>
          <w:bCs w:val="0"/>
          <w:sz w:val="32"/>
          <w:szCs w:val="32"/>
          <w:lang w:val="en-US" w:eastAsia="zh-CN"/>
        </w:rPr>
        <w:t>2</w:t>
      </w:r>
      <w:r>
        <w:rPr>
          <w:rFonts w:hint="eastAsia" w:ascii="FangSong_GB2312" w:hAnsi="FangSong_GB2312" w:eastAsia="FangSong_GB2312" w:cs="FangSong_GB2312"/>
          <w:b w:val="0"/>
          <w:bCs w:val="0"/>
          <w:sz w:val="32"/>
          <w:szCs w:val="32"/>
        </w:rPr>
        <w:t>.《意见》为财会监督赋予了新的定位</w:t>
      </w:r>
    </w:p>
    <w:p>
      <w:pPr>
        <w:spacing w:line="360" w:lineRule="auto"/>
        <w:ind w:firstLine="640" w:firstLineChars="200"/>
        <w:rPr>
          <w:rFonts w:hint="eastAsia" w:ascii="FangSong_GB2312" w:hAnsi="FangSong_GB2312" w:eastAsia="FangSong_GB2312" w:cs="FangSong_GB2312"/>
          <w:b w:val="0"/>
          <w:bCs w:val="0"/>
          <w:sz w:val="32"/>
          <w:szCs w:val="32"/>
        </w:rPr>
      </w:pPr>
      <w:r>
        <w:rPr>
          <w:rFonts w:hint="eastAsia" w:ascii="FangSong_GB2312" w:hAnsi="FangSong_GB2312" w:eastAsia="FangSong_GB2312" w:cs="FangSong_GB2312"/>
          <w:b w:val="0"/>
          <w:bCs w:val="0"/>
          <w:sz w:val="32"/>
          <w:szCs w:val="32"/>
          <w:lang w:val="en-US" w:eastAsia="zh-CN"/>
        </w:rPr>
        <w:t>3</w:t>
      </w:r>
      <w:r>
        <w:rPr>
          <w:rFonts w:hint="eastAsia" w:ascii="FangSong_GB2312" w:hAnsi="FangSong_GB2312" w:eastAsia="FangSong_GB2312" w:cs="FangSong_GB2312"/>
          <w:b w:val="0"/>
          <w:bCs w:val="0"/>
          <w:sz w:val="32"/>
          <w:szCs w:val="32"/>
        </w:rPr>
        <w:t>.《意见》指出2025年主要的目标方向</w:t>
      </w:r>
    </w:p>
    <w:p>
      <w:pPr>
        <w:spacing w:line="360" w:lineRule="auto"/>
        <w:ind w:firstLine="640" w:firstLineChars="200"/>
        <w:rPr>
          <w:rFonts w:hint="eastAsia" w:ascii="FangSong_GB2312" w:hAnsi="FangSong_GB2312" w:eastAsia="FangSong_GB2312" w:cs="FangSong_GB2312"/>
          <w:b w:val="0"/>
          <w:bCs w:val="0"/>
          <w:sz w:val="32"/>
          <w:szCs w:val="32"/>
        </w:rPr>
      </w:pPr>
      <w:r>
        <w:rPr>
          <w:rFonts w:hint="eastAsia" w:ascii="FangSong_GB2312" w:hAnsi="FangSong_GB2312" w:eastAsia="FangSong_GB2312" w:cs="FangSong_GB2312"/>
          <w:b w:val="0"/>
          <w:bCs w:val="0"/>
          <w:sz w:val="32"/>
          <w:szCs w:val="32"/>
        </w:rPr>
        <w:t>4.《意见》部署了哪些重点任务</w:t>
      </w:r>
    </w:p>
    <w:p>
      <w:pPr>
        <w:widowControl/>
        <w:shd w:val="clear" w:color="auto" w:fill="FFFFFF"/>
        <w:spacing w:line="360" w:lineRule="auto"/>
        <w:ind w:firstLine="643" w:firstLineChars="200"/>
        <w:rPr>
          <w:rFonts w:hint="eastAsia" w:ascii="FangSong_GB2312" w:hAnsi="FangSong_GB2312" w:eastAsia="FangSong_GB2312" w:cs="FangSong_GB2312"/>
          <w:b/>
          <w:sz w:val="32"/>
          <w:szCs w:val="32"/>
        </w:rPr>
      </w:pPr>
      <w:r>
        <w:rPr>
          <w:rFonts w:hint="eastAsia" w:ascii="FangSong_GB2312" w:hAnsi="FangSong_GB2312" w:eastAsia="FangSong_GB2312" w:cs="FangSong_GB2312"/>
          <w:b/>
          <w:sz w:val="32"/>
          <w:szCs w:val="32"/>
        </w:rPr>
        <w:t>（二）企业财务合规风险案例的成因分析</w:t>
      </w:r>
    </w:p>
    <w:p>
      <w:pPr>
        <w:widowControl/>
        <w:shd w:val="clear" w:color="auto" w:fill="FFFFFF"/>
        <w:spacing w:line="360" w:lineRule="auto"/>
        <w:ind w:firstLine="640" w:firstLineChars="200"/>
        <w:rPr>
          <w:rFonts w:hint="eastAsia" w:ascii="FangSong_GB2312" w:hAnsi="FangSong_GB2312" w:eastAsia="FangSong_GB2312" w:cs="FangSong_GB2312"/>
          <w:b w:val="0"/>
          <w:bCs/>
          <w:sz w:val="32"/>
          <w:szCs w:val="32"/>
        </w:rPr>
      </w:pPr>
      <w:r>
        <w:rPr>
          <w:rFonts w:hint="eastAsia" w:ascii="FangSong_GB2312" w:hAnsi="FangSong_GB2312" w:eastAsia="FangSong_GB2312" w:cs="FangSong_GB2312"/>
          <w:b w:val="0"/>
          <w:bCs/>
          <w:sz w:val="32"/>
          <w:szCs w:val="32"/>
        </w:rPr>
        <w:t>1.财务合规意识薄弱</w:t>
      </w:r>
    </w:p>
    <w:p>
      <w:pPr>
        <w:widowControl/>
        <w:shd w:val="clear" w:color="auto" w:fill="FFFFFF"/>
        <w:spacing w:line="360" w:lineRule="auto"/>
        <w:ind w:firstLine="640" w:firstLineChars="200"/>
        <w:rPr>
          <w:rFonts w:hint="eastAsia" w:ascii="FangSong_GB2312" w:hAnsi="FangSong_GB2312" w:eastAsia="FangSong_GB2312" w:cs="FangSong_GB2312"/>
          <w:b w:val="0"/>
          <w:bCs/>
          <w:sz w:val="32"/>
          <w:szCs w:val="32"/>
        </w:rPr>
      </w:pPr>
      <w:r>
        <w:rPr>
          <w:rFonts w:hint="eastAsia" w:ascii="FangSong_GB2312" w:hAnsi="FangSong_GB2312" w:eastAsia="FangSong_GB2312" w:cs="FangSong_GB2312"/>
          <w:b w:val="0"/>
          <w:bCs/>
          <w:sz w:val="32"/>
          <w:szCs w:val="32"/>
        </w:rPr>
        <w:t>2.财务全流程监控不佳</w:t>
      </w:r>
    </w:p>
    <w:p>
      <w:pPr>
        <w:widowControl/>
        <w:shd w:val="clear" w:color="auto" w:fill="FFFFFF"/>
        <w:spacing w:line="360" w:lineRule="auto"/>
        <w:ind w:firstLine="640" w:firstLineChars="200"/>
        <w:rPr>
          <w:rFonts w:hint="eastAsia" w:ascii="FangSong_GB2312" w:hAnsi="FangSong_GB2312" w:eastAsia="FangSong_GB2312" w:cs="FangSong_GB2312"/>
          <w:b w:val="0"/>
          <w:bCs/>
          <w:sz w:val="32"/>
          <w:szCs w:val="32"/>
        </w:rPr>
      </w:pPr>
      <w:r>
        <w:rPr>
          <w:rFonts w:hint="eastAsia" w:ascii="FangSong_GB2312" w:hAnsi="FangSong_GB2312" w:eastAsia="FangSong_GB2312" w:cs="FangSong_GB2312"/>
          <w:b w:val="0"/>
          <w:bCs/>
          <w:sz w:val="32"/>
          <w:szCs w:val="32"/>
        </w:rPr>
        <w:t>3.银行管理无序无效</w:t>
      </w:r>
    </w:p>
    <w:p>
      <w:pPr>
        <w:widowControl/>
        <w:shd w:val="clear" w:color="auto" w:fill="FFFFFF"/>
        <w:spacing w:line="360" w:lineRule="auto"/>
        <w:ind w:firstLine="640" w:firstLineChars="200"/>
        <w:rPr>
          <w:rFonts w:hint="eastAsia" w:ascii="FangSong_GB2312" w:hAnsi="FangSong_GB2312" w:eastAsia="FangSong_GB2312" w:cs="FangSong_GB2312"/>
          <w:b w:val="0"/>
          <w:bCs/>
          <w:sz w:val="32"/>
          <w:szCs w:val="32"/>
        </w:rPr>
      </w:pPr>
      <w:r>
        <w:rPr>
          <w:rFonts w:hint="eastAsia" w:ascii="FangSong_GB2312" w:hAnsi="FangSong_GB2312" w:eastAsia="FangSong_GB2312" w:cs="FangSong_GB2312"/>
          <w:b w:val="0"/>
          <w:bCs/>
          <w:sz w:val="32"/>
          <w:szCs w:val="32"/>
        </w:rPr>
        <w:t>4.资金管控形同虚设</w:t>
      </w:r>
    </w:p>
    <w:p>
      <w:pPr>
        <w:widowControl/>
        <w:shd w:val="clear" w:color="auto" w:fill="FFFFFF"/>
        <w:spacing w:line="360" w:lineRule="auto"/>
        <w:ind w:firstLine="640" w:firstLineChars="200"/>
        <w:rPr>
          <w:rFonts w:hint="eastAsia" w:ascii="FangSong_GB2312" w:hAnsi="FangSong_GB2312" w:eastAsia="FangSong_GB2312" w:cs="FangSong_GB2312"/>
          <w:b w:val="0"/>
          <w:bCs/>
          <w:sz w:val="32"/>
          <w:szCs w:val="32"/>
        </w:rPr>
      </w:pPr>
      <w:r>
        <w:rPr>
          <w:rFonts w:hint="eastAsia" w:ascii="FangSong_GB2312" w:hAnsi="FangSong_GB2312" w:eastAsia="FangSong_GB2312" w:cs="FangSong_GB2312"/>
          <w:b w:val="0"/>
          <w:bCs/>
          <w:sz w:val="32"/>
          <w:szCs w:val="32"/>
        </w:rPr>
        <w:t>5.费用管理混乱</w:t>
      </w:r>
    </w:p>
    <w:p>
      <w:pPr>
        <w:widowControl/>
        <w:shd w:val="clear" w:color="auto" w:fill="FFFFFF"/>
        <w:spacing w:line="360" w:lineRule="auto"/>
        <w:ind w:firstLine="640" w:firstLineChars="200"/>
        <w:rPr>
          <w:rFonts w:hint="eastAsia" w:ascii="FangSong_GB2312" w:hAnsi="FangSong_GB2312" w:eastAsia="FangSong_GB2312" w:cs="FangSong_GB2312"/>
          <w:b w:val="0"/>
          <w:bCs/>
          <w:sz w:val="32"/>
          <w:szCs w:val="32"/>
        </w:rPr>
      </w:pPr>
      <w:r>
        <w:rPr>
          <w:rFonts w:hint="eastAsia" w:ascii="FangSong_GB2312" w:hAnsi="FangSong_GB2312" w:eastAsia="FangSong_GB2312" w:cs="FangSong_GB2312"/>
          <w:b w:val="0"/>
          <w:bCs/>
          <w:sz w:val="32"/>
          <w:szCs w:val="32"/>
        </w:rPr>
        <w:t>6.财务人员设置不合理</w:t>
      </w:r>
    </w:p>
    <w:p>
      <w:pPr>
        <w:widowControl/>
        <w:shd w:val="clear" w:color="auto" w:fill="FFFFFF"/>
        <w:spacing w:line="360" w:lineRule="auto"/>
        <w:ind w:firstLine="640" w:firstLineChars="200"/>
        <w:rPr>
          <w:rFonts w:hint="eastAsia" w:ascii="FangSong_GB2312" w:hAnsi="FangSong_GB2312" w:eastAsia="FangSong_GB2312" w:cs="FangSong_GB2312"/>
          <w:b w:val="0"/>
          <w:bCs/>
          <w:sz w:val="32"/>
          <w:szCs w:val="32"/>
        </w:rPr>
      </w:pPr>
      <w:r>
        <w:rPr>
          <w:rFonts w:hint="eastAsia" w:ascii="FangSong_GB2312" w:hAnsi="FangSong_GB2312" w:eastAsia="FangSong_GB2312" w:cs="FangSong_GB2312"/>
          <w:b w:val="0"/>
          <w:bCs/>
          <w:sz w:val="32"/>
          <w:szCs w:val="32"/>
        </w:rPr>
        <w:t>7.违规使用财政资金</w:t>
      </w:r>
    </w:p>
    <w:p>
      <w:pPr>
        <w:widowControl/>
        <w:shd w:val="clear" w:color="auto" w:fill="FFFFFF"/>
        <w:spacing w:line="360" w:lineRule="auto"/>
        <w:ind w:firstLine="643" w:firstLineChars="200"/>
        <w:rPr>
          <w:rFonts w:ascii="FangSong_GB2312" w:hAnsi="FangSong_GB2312" w:eastAsia="FangSong_GB2312" w:cs="FangSong_GB2312"/>
          <w:b/>
          <w:sz w:val="32"/>
          <w:szCs w:val="32"/>
        </w:rPr>
      </w:pPr>
      <w:r>
        <w:rPr>
          <w:rFonts w:ascii="FangSong_GB2312" w:hAnsi="FangSong_GB2312" w:eastAsia="FangSong_GB2312" w:cs="FangSong_GB2312"/>
          <w:b/>
          <w:sz w:val="32"/>
          <w:szCs w:val="32"/>
        </w:rPr>
        <w:t>（</w:t>
      </w:r>
      <w:r>
        <w:rPr>
          <w:rFonts w:hint="eastAsia" w:ascii="FangSong_GB2312" w:hAnsi="FangSong_GB2312" w:eastAsia="FangSong_GB2312" w:cs="FangSong_GB2312"/>
          <w:b/>
          <w:sz w:val="32"/>
          <w:szCs w:val="32"/>
          <w:lang w:eastAsia="zh-CN"/>
        </w:rPr>
        <w:t>三</w:t>
      </w:r>
      <w:r>
        <w:rPr>
          <w:rFonts w:ascii="FangSong_GB2312" w:hAnsi="FangSong_GB2312" w:eastAsia="FangSong_GB2312" w:cs="FangSong_GB2312"/>
          <w:b/>
          <w:sz w:val="32"/>
          <w:szCs w:val="32"/>
        </w:rPr>
        <w:t>）企业财务合规风险管理实务</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1.财务核算风险处理及应对</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2.财务审核风险处理及应对</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3.财务管理风险处理及应对</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4.资产管理风险处理及应对</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5.优化资金系统权限管理</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6.持续强化资金支付监控</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7.税务工作风险自查</w:t>
      </w:r>
    </w:p>
    <w:p>
      <w:pPr>
        <w:widowControl/>
        <w:shd w:val="clear" w:color="auto" w:fill="FFFFFF"/>
        <w:spacing w:line="360" w:lineRule="auto"/>
        <w:ind w:firstLine="643" w:firstLineChars="200"/>
        <w:rPr>
          <w:rFonts w:ascii="FangSong_GB2312" w:hAnsi="FangSong_GB2312" w:eastAsia="FangSong_GB2312" w:cs="FangSong_GB2312"/>
          <w:b/>
          <w:sz w:val="32"/>
          <w:szCs w:val="32"/>
        </w:rPr>
      </w:pPr>
      <w:r>
        <w:rPr>
          <w:rFonts w:ascii="FangSong_GB2312" w:hAnsi="FangSong_GB2312" w:eastAsia="FangSong_GB2312" w:cs="FangSong_GB2312"/>
          <w:b/>
          <w:sz w:val="32"/>
          <w:szCs w:val="32"/>
        </w:rPr>
        <w:t>（</w:t>
      </w:r>
      <w:r>
        <w:rPr>
          <w:rFonts w:hint="eastAsia" w:ascii="FangSong_GB2312" w:hAnsi="FangSong_GB2312" w:eastAsia="FangSong_GB2312" w:cs="FangSong_GB2312"/>
          <w:b/>
          <w:sz w:val="32"/>
          <w:szCs w:val="32"/>
          <w:lang w:eastAsia="zh-CN"/>
        </w:rPr>
        <w:t>四</w:t>
      </w:r>
      <w:r>
        <w:rPr>
          <w:rFonts w:ascii="FangSong_GB2312" w:hAnsi="FangSong_GB2312" w:eastAsia="FangSong_GB2312" w:cs="FangSong_GB2312"/>
          <w:b/>
          <w:sz w:val="32"/>
          <w:szCs w:val="32"/>
        </w:rPr>
        <w:t>）企业财务合规管理体系建设</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1.完善财务合规文化体系建设</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2.设立财务合规监管制度</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3.建立标准化的智能财务体系</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4.明确财务授权审批及各环节责任人</w:t>
      </w:r>
      <w:bookmarkStart w:id="0" w:name="_GoBack"/>
      <w:bookmarkEnd w:id="0"/>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5.经营绩效评价纳入全面预算管理体系</w:t>
      </w:r>
    </w:p>
    <w:p>
      <w:pPr>
        <w:widowControl/>
        <w:shd w:val="clear" w:color="auto" w:fill="FFFFFF"/>
        <w:spacing w:line="360" w:lineRule="auto"/>
        <w:ind w:firstLine="643" w:firstLineChars="200"/>
        <w:rPr>
          <w:rFonts w:ascii="FangSong_GB2312" w:hAnsi="FangSong_GB2312" w:eastAsia="FangSong_GB2312" w:cs="FangSong_GB2312"/>
          <w:b/>
          <w:sz w:val="32"/>
          <w:szCs w:val="32"/>
        </w:rPr>
      </w:pPr>
      <w:r>
        <w:rPr>
          <w:rFonts w:ascii="FangSong_GB2312" w:hAnsi="FangSong_GB2312" w:eastAsia="FangSong_GB2312" w:cs="FangSong_GB2312"/>
          <w:b/>
          <w:sz w:val="32"/>
          <w:szCs w:val="32"/>
        </w:rPr>
        <w:t>（</w:t>
      </w:r>
      <w:r>
        <w:rPr>
          <w:rFonts w:hint="eastAsia" w:ascii="FangSong_GB2312" w:hAnsi="FangSong_GB2312" w:eastAsia="FangSong_GB2312" w:cs="FangSong_GB2312"/>
          <w:b/>
          <w:sz w:val="32"/>
          <w:szCs w:val="32"/>
          <w:lang w:eastAsia="zh-CN"/>
        </w:rPr>
        <w:t>五</w:t>
      </w:r>
      <w:r>
        <w:rPr>
          <w:rFonts w:ascii="FangSong_GB2312" w:hAnsi="FangSong_GB2312" w:eastAsia="FangSong_GB2312" w:cs="FangSong_GB2312"/>
          <w:b/>
          <w:sz w:val="32"/>
          <w:szCs w:val="32"/>
        </w:rPr>
        <w:t>）世界一流企业财务合规管理体系建设案例</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1.华为财务合规管理案例</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2.某央企财务公司合规管理案例</w:t>
      </w:r>
    </w:p>
    <w:p>
      <w:pPr>
        <w:spacing w:line="360" w:lineRule="auto"/>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五、师资力量</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本课程由北京国家会计学院精心组织的专门师资团队授课。授课老师均具有深厚的理论功底及丰富的实践经验，包括北京国家会计学院教授、实务界资深专家、政策制定者等。具体师资以实际课表为准。</w:t>
      </w:r>
    </w:p>
    <w:p>
      <w:pPr>
        <w:spacing w:line="360" w:lineRule="auto"/>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六、面授时间地点</w:t>
      </w:r>
    </w:p>
    <w:tbl>
      <w:tblPr>
        <w:tblStyle w:val="10"/>
        <w:tblW w:w="885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568"/>
        <w:gridCol w:w="1840"/>
        <w:gridCol w:w="1987"/>
        <w:gridCol w:w="1984"/>
        <w:gridCol w:w="14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568" w:type="dxa"/>
            <w:tcBorders>
              <w:top w:val="outset" w:color="auto" w:sz="6" w:space="0"/>
              <w:left w:val="outset" w:color="auto" w:sz="6" w:space="0"/>
              <w:bottom w:val="outset" w:color="auto" w:sz="6" w:space="0"/>
              <w:right w:val="outset" w:color="auto" w:sz="6" w:space="0"/>
            </w:tcBorders>
            <w:vAlign w:val="center"/>
          </w:tcPr>
          <w:p>
            <w:pPr>
              <w:spacing w:line="360" w:lineRule="atLeast"/>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w:t>
            </w:r>
            <w:r>
              <w:rPr>
                <w:rStyle w:val="12"/>
                <w:rFonts w:ascii="宋体" w:hAnsi="宋体"/>
                <w:color w:val="000000" w:themeColor="text1"/>
                <w:szCs w:val="21"/>
                <w14:textFill>
                  <w14:solidFill>
                    <w14:schemeClr w14:val="tx1"/>
                  </w14:solidFill>
                </w14:textFill>
              </w:rPr>
              <w:t>序</w:t>
            </w:r>
            <w:r>
              <w:rPr>
                <w:rStyle w:val="12"/>
                <w:rFonts w:hint="eastAsia" w:ascii="宋体" w:hAnsi="宋体"/>
                <w:color w:val="000000" w:themeColor="text1"/>
                <w:szCs w:val="21"/>
                <w14:textFill>
                  <w14:solidFill>
                    <w14:schemeClr w14:val="tx1"/>
                  </w14:solidFill>
                </w14:textFill>
              </w:rPr>
              <w:t xml:space="preserve">  </w:t>
            </w:r>
            <w:r>
              <w:rPr>
                <w:rStyle w:val="12"/>
                <w:rFonts w:ascii="宋体" w:hAnsi="宋体"/>
                <w:color w:val="000000" w:themeColor="text1"/>
                <w:szCs w:val="21"/>
                <w14:textFill>
                  <w14:solidFill>
                    <w14:schemeClr w14:val="tx1"/>
                  </w14:solidFill>
                </w14:textFill>
              </w:rPr>
              <w:t>号</w:t>
            </w:r>
          </w:p>
        </w:tc>
        <w:tc>
          <w:tcPr>
            <w:tcW w:w="1840"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Style w:val="12"/>
                <w:rFonts w:ascii="宋体" w:hAnsi="宋体"/>
                <w:color w:val="000000" w:themeColor="text1"/>
                <w:szCs w:val="21"/>
                <w14:textFill>
                  <w14:solidFill>
                    <w14:schemeClr w14:val="tx1"/>
                  </w14:solidFill>
                </w14:textFill>
              </w:rPr>
              <w:t>报到时间</w:t>
            </w:r>
          </w:p>
        </w:tc>
        <w:tc>
          <w:tcPr>
            <w:tcW w:w="1987"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Style w:val="12"/>
                <w:rFonts w:ascii="宋体" w:hAnsi="宋体"/>
                <w:color w:val="000000" w:themeColor="text1"/>
                <w:szCs w:val="21"/>
                <w14:textFill>
                  <w14:solidFill>
                    <w14:schemeClr w14:val="tx1"/>
                  </w14:solidFill>
                </w14:textFill>
              </w:rPr>
              <w:t>培训时间</w:t>
            </w:r>
          </w:p>
        </w:tc>
        <w:tc>
          <w:tcPr>
            <w:tcW w:w="1984"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Style w:val="12"/>
                <w:rFonts w:hint="eastAsia" w:ascii="宋体" w:hAnsi="宋体"/>
                <w:color w:val="000000" w:themeColor="text1"/>
                <w:szCs w:val="21"/>
                <w14:textFill>
                  <w14:solidFill>
                    <w14:schemeClr w14:val="tx1"/>
                  </w14:solidFill>
                </w14:textFill>
              </w:rPr>
              <w:t>返程</w:t>
            </w:r>
            <w:r>
              <w:rPr>
                <w:rStyle w:val="12"/>
                <w:rFonts w:ascii="宋体" w:hAnsi="宋体"/>
                <w:color w:val="000000" w:themeColor="text1"/>
                <w:szCs w:val="21"/>
                <w14:textFill>
                  <w14:solidFill>
                    <w14:schemeClr w14:val="tx1"/>
                  </w14:solidFill>
                </w14:textFill>
              </w:rPr>
              <w:t>时间</w:t>
            </w:r>
          </w:p>
        </w:tc>
        <w:tc>
          <w:tcPr>
            <w:tcW w:w="1477"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Style w:val="12"/>
                <w:rFonts w:ascii="宋体" w:hAnsi="宋体"/>
                <w:color w:val="000000" w:themeColor="text1"/>
                <w:szCs w:val="21"/>
                <w14:textFill>
                  <w14:solidFill>
                    <w14:schemeClr w14:val="tx1"/>
                  </w14:solidFill>
                </w14:textFill>
              </w:rPr>
              <w:t>培训地点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568"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总第</w:t>
            </w: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期</w:t>
            </w:r>
          </w:p>
        </w:tc>
        <w:tc>
          <w:tcPr>
            <w:tcW w:w="1840"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6月24日</w:t>
            </w:r>
          </w:p>
        </w:tc>
        <w:tc>
          <w:tcPr>
            <w:tcW w:w="1987"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6月25-27日</w:t>
            </w:r>
          </w:p>
        </w:tc>
        <w:tc>
          <w:tcPr>
            <w:tcW w:w="1984"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6月28日</w:t>
            </w:r>
          </w:p>
        </w:tc>
        <w:tc>
          <w:tcPr>
            <w:tcW w:w="1477"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武汉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568"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总第</w:t>
            </w: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期</w:t>
            </w:r>
          </w:p>
        </w:tc>
        <w:tc>
          <w:tcPr>
            <w:tcW w:w="1840"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8月20日</w:t>
            </w:r>
          </w:p>
        </w:tc>
        <w:tc>
          <w:tcPr>
            <w:tcW w:w="1987"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8月21-23日</w:t>
            </w:r>
          </w:p>
        </w:tc>
        <w:tc>
          <w:tcPr>
            <w:tcW w:w="1984"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8月24日</w:t>
            </w:r>
          </w:p>
        </w:tc>
        <w:tc>
          <w:tcPr>
            <w:tcW w:w="1477"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青岛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568"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总第</w:t>
            </w: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期</w:t>
            </w:r>
          </w:p>
        </w:tc>
        <w:tc>
          <w:tcPr>
            <w:tcW w:w="1840"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9月24日</w:t>
            </w:r>
          </w:p>
        </w:tc>
        <w:tc>
          <w:tcPr>
            <w:tcW w:w="1987"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9月25-27日</w:t>
            </w:r>
          </w:p>
        </w:tc>
        <w:tc>
          <w:tcPr>
            <w:tcW w:w="1984"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9月28日</w:t>
            </w:r>
          </w:p>
        </w:tc>
        <w:tc>
          <w:tcPr>
            <w:tcW w:w="1477"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杭州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568"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总第</w:t>
            </w: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期</w:t>
            </w:r>
          </w:p>
        </w:tc>
        <w:tc>
          <w:tcPr>
            <w:tcW w:w="1840"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11月26日</w:t>
            </w:r>
          </w:p>
        </w:tc>
        <w:tc>
          <w:tcPr>
            <w:tcW w:w="1987"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11月27-29日</w:t>
            </w:r>
          </w:p>
        </w:tc>
        <w:tc>
          <w:tcPr>
            <w:tcW w:w="1984"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11月30日</w:t>
            </w:r>
          </w:p>
        </w:tc>
        <w:tc>
          <w:tcPr>
            <w:tcW w:w="1477" w:type="dxa"/>
            <w:tcBorders>
              <w:top w:val="outset" w:color="auto" w:sz="6" w:space="0"/>
              <w:left w:val="outset" w:color="auto" w:sz="6" w:space="0"/>
              <w:bottom w:val="outset" w:color="auto" w:sz="6" w:space="0"/>
              <w:right w:val="outset" w:color="auto" w:sz="6" w:space="0"/>
            </w:tcBorders>
            <w:vAlign w:val="center"/>
          </w:tcPr>
          <w:p>
            <w:pPr>
              <w:spacing w:line="36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海口</w:t>
            </w:r>
          </w:p>
        </w:tc>
      </w:tr>
    </w:tbl>
    <w:p>
      <w:pPr>
        <w:spacing w:line="360" w:lineRule="auto"/>
        <w:rPr>
          <w:rFonts w:hint="eastAsia" w:ascii="FangSong_GB2312" w:hAnsi="FangSong_GB2312" w:eastAsia="FangSong_GB2312" w:cs="FangSong_GB2312"/>
          <w:b/>
          <w:bCs/>
          <w:sz w:val="32"/>
          <w:szCs w:val="32"/>
        </w:rPr>
      </w:pPr>
      <w:r>
        <w:rPr>
          <w:rFonts w:ascii="宋体" w:hAnsi="宋体" w:cs="宋体"/>
          <w:bCs/>
          <w:color w:val="000000" w:themeColor="text1"/>
          <w:kern w:val="0"/>
          <w:sz w:val="24"/>
          <w:szCs w:val="24"/>
          <w14:textFill>
            <w14:solidFill>
              <w14:schemeClr w14:val="tx1"/>
            </w14:solidFill>
          </w14:textFill>
        </w:rPr>
        <w:t>提示：结束时间以开课通知或课程安排表为准。</w:t>
      </w:r>
    </w:p>
    <w:p>
      <w:pPr>
        <w:spacing w:line="360" w:lineRule="auto"/>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七、结业及考核</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完成全部课程学习，学员可获得北京国家会计学院颁发的研修班结业证书（电子版）。</w:t>
      </w:r>
    </w:p>
    <w:p>
      <w:pPr>
        <w:spacing w:line="360" w:lineRule="auto"/>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八、收费标准和</w:t>
      </w:r>
      <w:r>
        <w:rPr>
          <w:rFonts w:ascii="FangSong_GB2312" w:hAnsi="FangSong_GB2312" w:eastAsia="FangSong_GB2312" w:cs="FangSong_GB2312"/>
          <w:b/>
          <w:bCs/>
          <w:sz w:val="32"/>
          <w:szCs w:val="32"/>
        </w:rPr>
        <w:t>缴费方式</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华文仿宋" w:hAnsi="华文仿宋" w:eastAsia="华文仿宋" w:cs="华文仿宋"/>
          <w:sz w:val="32"/>
          <w:szCs w:val="32"/>
        </w:rPr>
        <w:t>1.</w:t>
      </w:r>
      <w:r>
        <w:rPr>
          <w:rFonts w:ascii="FangSong_GB2312" w:hAnsi="FangSong_GB2312" w:eastAsia="FangSong_GB2312" w:cs="FangSong_GB2312"/>
          <w:sz w:val="32"/>
          <w:szCs w:val="32"/>
        </w:rPr>
        <w:t>收费标准</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培训费：人民币5800元/人（不含食宿）。</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食宿费：住宿房型、食宿标准以及支付方式详见开课通知。</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2.缴费方式</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学员报到时可现场刷储蓄卡、信用卡或者通过微信扫码、银行汇款等方式支付培训费。扫码支付可立即开具电子发票。</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汇款信息如下：</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单位名称：北京国家会计学院</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汇款账号：1100 1020 1000 5603 0985</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开户行：中国建设银行北京天竺支行（201）</w:t>
      </w:r>
    </w:p>
    <w:p>
      <w:pPr>
        <w:widowControl/>
        <w:shd w:val="clear" w:color="auto" w:fill="FFFFFF"/>
        <w:spacing w:line="360" w:lineRule="auto"/>
        <w:ind w:firstLine="643" w:firstLineChars="200"/>
        <w:rPr>
          <w:rFonts w:ascii="FangSong_GB2312" w:hAnsi="FangSong_GB2312" w:eastAsia="FangSong_GB2312" w:cs="FangSong_GB2312"/>
          <w:sz w:val="32"/>
          <w:szCs w:val="32"/>
        </w:rPr>
      </w:pPr>
      <w:r>
        <w:rPr>
          <w:rFonts w:ascii="FangSong_GB2312" w:hAnsi="FangSong_GB2312" w:eastAsia="FangSong_GB2312" w:cs="FangSong_GB2312"/>
          <w:b/>
          <w:bCs/>
          <w:sz w:val="32"/>
          <w:szCs w:val="32"/>
        </w:rPr>
        <w:t>特别提示</w:t>
      </w:r>
      <w:r>
        <w:rPr>
          <w:rFonts w:ascii="FangSong_GB2312" w:hAnsi="FangSong_GB2312" w:eastAsia="FangSong_GB2312" w:cs="FangSong_GB2312"/>
          <w:sz w:val="32"/>
          <w:szCs w:val="32"/>
        </w:rPr>
        <w:t>：培训班如确定开班，学院将在开班前一周给学员发送《开课通知》。如因报名人数低于开班人数要求，学院有权取消该班，对学员已缴纳的费用予以全额退还，但不承担任何赔偿。对任何因信赖该班可以如期举行而导致的任何直接、间接损失，包括但不限于差旅费损失、误工费损失等，学院均不承担法律责任。</w:t>
      </w:r>
    </w:p>
    <w:p>
      <w:pPr>
        <w:spacing w:line="360" w:lineRule="auto"/>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九、联系我们</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联系人：邱老师</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电话：010-645050</w:t>
      </w:r>
      <w:r>
        <w:rPr>
          <w:rFonts w:ascii="FangSong_GB2312" w:hAnsi="FangSong_GB2312" w:eastAsia="FangSong_GB2312" w:cs="FangSong_GB2312"/>
          <w:sz w:val="32"/>
          <w:szCs w:val="32"/>
        </w:rPr>
        <w:t>46</w:t>
      </w:r>
    </w:p>
    <w:p>
      <w:pPr>
        <w:widowControl/>
        <w:shd w:val="clear" w:color="auto" w:fill="FFFFFF"/>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邮箱：</w:t>
      </w:r>
      <w:r>
        <w:rPr>
          <w:rFonts w:ascii="FangSong_GB2312" w:hAnsi="FangSong_GB2312" w:eastAsia="FangSong_GB2312" w:cs="FangSong_GB2312"/>
          <w:sz w:val="32"/>
          <w:szCs w:val="32"/>
        </w:rPr>
        <w:t>qiucc</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mail.</w:t>
      </w:r>
      <w:r>
        <w:rPr>
          <w:rFonts w:hint="eastAsia" w:ascii="FangSong_GB2312" w:hAnsi="FangSong_GB2312" w:eastAsia="FangSong_GB2312" w:cs="FangSong_GB2312"/>
          <w:sz w:val="32"/>
          <w:szCs w:val="32"/>
        </w:rPr>
        <w:t>nai.</w:t>
      </w:r>
      <w:r>
        <w:rPr>
          <w:rFonts w:ascii="FangSong_GB2312" w:hAnsi="FangSong_GB2312" w:eastAsia="FangSong_GB2312" w:cs="FangSong_GB2312"/>
          <w:sz w:val="32"/>
          <w:szCs w:val="32"/>
        </w:rPr>
        <w:t>edu.cn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2000503000000020004"/>
    <w:charset w:val="00"/>
    <w:family w:val="auto"/>
    <w:pitch w:val="default"/>
    <w:sig w:usb0="00000000" w:usb1="00000000" w:usb2="00000010" w:usb3="00000000" w:csb0="00000001" w:csb1="00000000"/>
  </w:font>
  <w:font w:name="FangSong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WU3ZWNiMzgzNzAwZWVhYzBhOWY3ZTkwYzQyMjUifQ=="/>
  </w:docVars>
  <w:rsids>
    <w:rsidRoot w:val="1B927997"/>
    <w:rsid w:val="00034CCD"/>
    <w:rsid w:val="00060098"/>
    <w:rsid w:val="00093CFB"/>
    <w:rsid w:val="000A7EA1"/>
    <w:rsid w:val="0012146F"/>
    <w:rsid w:val="001457F1"/>
    <w:rsid w:val="00181B3D"/>
    <w:rsid w:val="001E04D7"/>
    <w:rsid w:val="002963A8"/>
    <w:rsid w:val="002F6D8C"/>
    <w:rsid w:val="00364F0F"/>
    <w:rsid w:val="003A686E"/>
    <w:rsid w:val="003F5246"/>
    <w:rsid w:val="0040799D"/>
    <w:rsid w:val="00455E39"/>
    <w:rsid w:val="004C34B6"/>
    <w:rsid w:val="004F0B35"/>
    <w:rsid w:val="005F1FFB"/>
    <w:rsid w:val="00670543"/>
    <w:rsid w:val="00694325"/>
    <w:rsid w:val="00721484"/>
    <w:rsid w:val="00803DE5"/>
    <w:rsid w:val="008331DA"/>
    <w:rsid w:val="0088010D"/>
    <w:rsid w:val="0093478C"/>
    <w:rsid w:val="009C71E0"/>
    <w:rsid w:val="00A02F78"/>
    <w:rsid w:val="00A15FB9"/>
    <w:rsid w:val="00A31BB2"/>
    <w:rsid w:val="00A46E67"/>
    <w:rsid w:val="00D66E07"/>
    <w:rsid w:val="00DB7DB8"/>
    <w:rsid w:val="00E26172"/>
    <w:rsid w:val="00E94031"/>
    <w:rsid w:val="00F563F5"/>
    <w:rsid w:val="00F57F8F"/>
    <w:rsid w:val="00F64CCC"/>
    <w:rsid w:val="01590D50"/>
    <w:rsid w:val="03A4089B"/>
    <w:rsid w:val="082B21CD"/>
    <w:rsid w:val="0A745D33"/>
    <w:rsid w:val="0EE50085"/>
    <w:rsid w:val="14926D30"/>
    <w:rsid w:val="154A7127"/>
    <w:rsid w:val="159F6791"/>
    <w:rsid w:val="1B8C702D"/>
    <w:rsid w:val="1B927997"/>
    <w:rsid w:val="21752C6A"/>
    <w:rsid w:val="2A470886"/>
    <w:rsid w:val="2D5E3FF4"/>
    <w:rsid w:val="2DEC28E0"/>
    <w:rsid w:val="34DC5032"/>
    <w:rsid w:val="36B12BB1"/>
    <w:rsid w:val="3F8A6E6E"/>
    <w:rsid w:val="41E73E41"/>
    <w:rsid w:val="43255E5C"/>
    <w:rsid w:val="439B60C9"/>
    <w:rsid w:val="4DFD03C3"/>
    <w:rsid w:val="521B5645"/>
    <w:rsid w:val="52D40D60"/>
    <w:rsid w:val="5364260C"/>
    <w:rsid w:val="559162EC"/>
    <w:rsid w:val="58140736"/>
    <w:rsid w:val="583801FC"/>
    <w:rsid w:val="62EF46EC"/>
    <w:rsid w:val="64AC4CC1"/>
    <w:rsid w:val="66B108E6"/>
    <w:rsid w:val="6A9E69FE"/>
    <w:rsid w:val="6EDA5BDB"/>
    <w:rsid w:val="709905BC"/>
    <w:rsid w:val="72F3061A"/>
    <w:rsid w:val="76442A34"/>
    <w:rsid w:val="76764E51"/>
    <w:rsid w:val="792A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16"/>
    <w:qFormat/>
    <w:uiPriority w:val="0"/>
    <w:pPr>
      <w:jc w:val="left"/>
    </w:p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paragraph" w:styleId="9">
    <w:name w:val="annotation subject"/>
    <w:basedOn w:val="5"/>
    <w:next w:val="5"/>
    <w:link w:val="17"/>
    <w:qFormat/>
    <w:uiPriority w:val="0"/>
    <w:rPr>
      <w:b/>
      <w:bCs/>
    </w:rPr>
  </w:style>
  <w:style w:type="character" w:styleId="12">
    <w:name w:val="Strong"/>
    <w:basedOn w:val="11"/>
    <w:qFormat/>
    <w:uiPriority w:val="22"/>
    <w:rPr>
      <w:b/>
    </w:rPr>
  </w:style>
  <w:style w:type="character" w:styleId="13">
    <w:name w:val="annotation reference"/>
    <w:basedOn w:val="11"/>
    <w:qFormat/>
    <w:uiPriority w:val="0"/>
    <w:rPr>
      <w:sz w:val="21"/>
      <w:szCs w:val="21"/>
    </w:rPr>
  </w:style>
  <w:style w:type="paragraph" w:customStyle="1" w:styleId="14">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Comment Text Char"/>
    <w:basedOn w:val="11"/>
    <w:link w:val="5"/>
    <w:qFormat/>
    <w:uiPriority w:val="0"/>
    <w:rPr>
      <w:rFonts w:asciiTheme="minorHAnsi" w:hAnsiTheme="minorHAnsi" w:eastAsiaTheme="minorEastAsia" w:cstheme="minorBidi"/>
      <w:kern w:val="2"/>
      <w:sz w:val="21"/>
      <w:szCs w:val="24"/>
    </w:rPr>
  </w:style>
  <w:style w:type="character" w:customStyle="1" w:styleId="17">
    <w:name w:val="Comment Subject Char"/>
    <w:basedOn w:val="16"/>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258</Words>
  <Characters>1474</Characters>
  <Lines>12</Lines>
  <Paragraphs>3</Paragraphs>
  <TotalTime>1</TotalTime>
  <ScaleCrop>false</ScaleCrop>
  <LinksUpToDate>false</LinksUpToDate>
  <CharactersWithSpaces>1729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2023-03-09T02:58:00Z</dcterms:created>
  <dc:creator>李青</dc:creator>
  <cp:lastModifiedBy>Administrator</cp:lastModifiedBy>
  <cp:lastPrinted>2023-03-13T08:17:00Z</cp:lastPrinted>
  <dcterms:modified xsi:type="dcterms:W3CDTF">2023-05-11T09:05:27Z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2EA997AB793B425486E46A6000F35648</vt:lpwstr>
  </property>
</Properties>
</file>