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“对标华为——数字化转型、业财融合与财务BP组织能力提升”高级研修班</w:t>
      </w:r>
    </w:p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招生简章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一、培训背景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经过30年的快速增长，华为销售收入已突破6000亿元，伴随业务的发展，华为财经通过四统一、ERP推行、项目“概预核决”四算、共享中心建设、IFS变革和财务蓝军建设，一步步成长为世界级的财务组织。其中业财融合一直是国内外企业的标杆对象，也是财务职能变革的一种趋势。财务不再是躲在后方记账，而是走向前台，与业务并驾齐驱，甚至要走在业务的前面。因此财务BP岗位应运而生，他们代表财务部门，去了解业务部门的需求，反馈给财务部门，进而帮助业务部门发展业务。这要求他们既要立足于本身的专业知识，又要深刻了解业务，向两方传递正确的信息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当下企业对财务部门提出的期望越来越高，从“核算财务”向“业务财务”及“战略财务”进行转型，其中不可避免的会遇到各种问题和挑战。为此，北京国家会计学院推出全新的“对标华为——数字化转型、业财融合与财务BP组织能力提升”高级研修班，旨在帮助财务人员培育战略思维，掌握尖端知识，产生一些既可以服务中国企业、又可以服务全球企业的财务理念，快速成为企业的重要战略合作伙伴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二、培训收益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1.学习了解华为业财融合的发展与理念；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2.学习了解财经COE和BP组织建设与人员安排及培养；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3.掌握业财融合与财经BP实践的方式方法，提升BP能力；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4.学习和应用华为财经人才管理体系，同时结合企业所处的发展阶段和业务特点，重塑新型组织财务组织架构；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5.掌握财务人员数字化转型所需的能力，实现成功转型和企业价值增加。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培训对象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企业中高层管理人员以及企业各级财务人员。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培训内容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（一）</w:t>
      </w:r>
      <w:r>
        <w:rPr>
          <w:rFonts w:ascii="Calibri" w:hAnsi="Calibri" w:eastAsia="仿宋" w:cs="Calibri"/>
          <w:b/>
          <w:sz w:val="32"/>
          <w:szCs w:val="32"/>
        </w:rPr>
        <w:t> </w:t>
      </w:r>
      <w:r>
        <w:rPr>
          <w:rFonts w:ascii="仿宋" w:hAnsi="仿宋" w:eastAsia="仿宋" w:cs="仿宋_GB2312"/>
          <w:b/>
          <w:sz w:val="32"/>
          <w:szCs w:val="32"/>
        </w:rPr>
        <w:t>华为财经数字化转型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数字化时代财经的机会与挑战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华为财经从手工记账--电算化--信息化--数智化的演进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数字化时代财经业务蓝图框架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财经数字化建设与运作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（1）财经数字化转型目标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（2）数字化建设与运作框架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（3）满足多样化需求的快速、敏捷的报告与数字服务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（4）通过中台，建立财经与业务数据的快速连接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（5）从源头进行有效的数据治理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（二）华为财务BP转型推进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华为财经转型方向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华为财经分阶段演进及各阶段特点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财经组织由核算型向管理型演进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（1）财经职能演进的探索与争议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（2）财经“三支柱”的形成及运作精髓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IFS变革打通财务BP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（1）变革契机：财经的痛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（2）IFS变革愿景、使命、框架及范围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（3）IFS变革的财经基础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（4）新型的业财合作关系及构建价值创造的财务BP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财务负责人到CFO的角色转换及责权演进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（1）财经组织重塑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（2）财经流程重塑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（3）财经人才转型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（4）构建新型业财融合的经营环境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（三）业财融合与战略一体化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1.企业的价值链分析与重塑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2.业财融合现状及诊断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3.财务BP与财务组织进化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4.财务BP的定位与职责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5.财务BP的数据抓手：收入、利润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6.财务BP的成长路径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（四）财务BP能力培养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推进业务流程优化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提升内部运营与资源使用效率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业务数据建模与可视化处理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部门绩效系统的建立与工具选择：KPI、MBO、OKR</w:t>
      </w:r>
    </w:p>
    <w:p>
      <w:pPr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（五）结构化研讨——业财融合的组织设置与战略</w:t>
      </w:r>
      <w:r>
        <w:rPr>
          <w:rFonts w:hint="eastAsia" w:ascii="仿宋" w:hAnsi="仿宋" w:eastAsia="仿宋" w:cs="仿宋_GB2312"/>
          <w:b/>
          <w:sz w:val="32"/>
          <w:szCs w:val="32"/>
        </w:rPr>
        <w:t>承接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承接战略的财务组织架构如何设置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业财融合导向的岗位职责的划分与界定（责、权、利）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业财融合视角的绩效管理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.</w:t>
      </w:r>
      <w:r>
        <w:rPr>
          <w:rFonts w:ascii="仿宋" w:hAnsi="仿宋" w:eastAsia="仿宋" w:cs="仿宋_GB2312"/>
          <w:sz w:val="32"/>
          <w:szCs w:val="32"/>
        </w:rPr>
        <w:t>新信息技术在业财融合应用的难点和痛点以及解决思路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五、培训方式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本培训项目以面授课堂教学以及交流研讨为主，帮助学员增长远见，培养意识，交流信息，产生新知。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六、培训师资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授课专家由北京国家会计学院教师、多年从事华为研究的专家及各大型集团财务管控领域资深专家组成。拟聘师资如下：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1.贺老师，北京国家会计学院教授，会计研究与发展中心主任、管理会计研究所所长；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2.陈老师，华为二十多年工作经历，历任华为海外子公司CFO,海外地区部CFO（下辖十多个国家子公司），亲身经历了华为从100亿到8000多亿的成长过程，伴随华为迈入全球一流财经管理水平行列。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七、培训时间地点</w:t>
      </w:r>
    </w:p>
    <w:tbl>
      <w:tblPr>
        <w:tblStyle w:val="10"/>
        <w:tblpPr w:vertAnchor="text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2"/>
        <w:gridCol w:w="1808"/>
        <w:gridCol w:w="1695"/>
        <w:gridCol w:w="2061"/>
        <w:gridCol w:w="1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  <w:t>期数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  <w:t>开始时间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535455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总第12期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2月9日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2月10日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2月12日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总第13期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3月22日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3月8日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3月10日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深圳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总第14期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4月16日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4月17日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4月19日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总第15期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4月19日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4月20日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4月22日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桂林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总第16期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5月11日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5月12日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5月14日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总第17期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5月22日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5月23日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5月25日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杭州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总第18期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7月3日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7月4日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7月6日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总第19期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7月31日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8月1日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8月3日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总第20期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8月17日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8月18日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8月20日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总第21期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9月12日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9月13日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9月15日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深圳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总第22期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9月21日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9月22日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9月24日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总第23期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10月15日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10月16日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10月18日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1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总第24期</w:t>
            </w:r>
          </w:p>
        </w:tc>
        <w:tc>
          <w:tcPr>
            <w:tcW w:w="108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11月19日</w:t>
            </w:r>
          </w:p>
        </w:tc>
        <w:tc>
          <w:tcPr>
            <w:tcW w:w="10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11月20日</w:t>
            </w:r>
          </w:p>
        </w:tc>
        <w:tc>
          <w:tcPr>
            <w:tcW w:w="12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11月22日</w:t>
            </w:r>
          </w:p>
        </w:tc>
        <w:tc>
          <w:tcPr>
            <w:tcW w:w="8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海口</w:t>
            </w:r>
          </w:p>
        </w:tc>
      </w:tr>
    </w:tbl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八、结业及考核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b/>
          <w:bCs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完成全部课程学习，</w:t>
      </w:r>
      <w:r>
        <w:rPr>
          <w:rFonts w:ascii="仿宋" w:hAnsi="仿宋" w:eastAsia="仿宋" w:cs="华文仿宋"/>
          <w:sz w:val="32"/>
          <w:szCs w:val="32"/>
          <w:lang w:val="en-US"/>
        </w:rPr>
        <w:t>学员可获得</w:t>
      </w:r>
      <w:r>
        <w:rPr>
          <w:rFonts w:ascii="仿宋" w:hAnsi="仿宋" w:eastAsia="仿宋" w:cs="华文仿宋"/>
          <w:sz w:val="32"/>
          <w:szCs w:val="32"/>
        </w:rPr>
        <w:t>北京国家会计学院</w:t>
      </w:r>
      <w:r>
        <w:rPr>
          <w:rFonts w:ascii="仿宋" w:hAnsi="仿宋" w:eastAsia="仿宋" w:cs="华文仿宋"/>
          <w:sz w:val="32"/>
          <w:szCs w:val="32"/>
          <w:lang w:val="en-US"/>
        </w:rPr>
        <w:t>颁发的研修班</w:t>
      </w:r>
      <w:r>
        <w:rPr>
          <w:rFonts w:ascii="仿宋" w:hAnsi="仿宋" w:eastAsia="仿宋" w:cs="华文仿宋"/>
          <w:sz w:val="32"/>
          <w:szCs w:val="32"/>
        </w:rPr>
        <w:t>结业证书（</w:t>
      </w:r>
      <w:r>
        <w:rPr>
          <w:rFonts w:ascii="仿宋" w:hAnsi="仿宋" w:eastAsia="仿宋" w:cs="华文仿宋"/>
          <w:sz w:val="32"/>
          <w:szCs w:val="32"/>
          <w:lang w:val="en-US"/>
        </w:rPr>
        <w:t>电子版</w:t>
      </w:r>
      <w:r>
        <w:rPr>
          <w:rFonts w:ascii="仿宋" w:hAnsi="仿宋" w:eastAsia="仿宋" w:cs="华文仿宋"/>
          <w:sz w:val="32"/>
          <w:szCs w:val="32"/>
        </w:rPr>
        <w:t>）。</w:t>
      </w:r>
    </w:p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九、收费标准和</w:t>
      </w:r>
      <w:r>
        <w:rPr>
          <w:rFonts w:ascii="仿宋" w:hAnsi="仿宋" w:eastAsia="仿宋" w:cs="华文仿宋"/>
          <w:kern w:val="0"/>
        </w:rPr>
        <w:t>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1.收费标准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</w:rPr>
        <w:t>培训费：人民币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8</w:t>
      </w:r>
      <w:r>
        <w:rPr>
          <w:rFonts w:ascii="仿宋" w:hAnsi="仿宋" w:eastAsia="仿宋" w:cs="华文仿宋"/>
          <w:sz w:val="32"/>
          <w:szCs w:val="32"/>
          <w:lang w:val="en-US"/>
        </w:rPr>
        <w:t>00</w:t>
      </w:r>
      <w:r>
        <w:rPr>
          <w:rFonts w:ascii="仿宋" w:hAnsi="仿宋" w:eastAsia="仿宋" w:cs="华文仿宋"/>
          <w:sz w:val="32"/>
          <w:szCs w:val="32"/>
        </w:rPr>
        <w:t>元/人</w:t>
      </w:r>
      <w:r>
        <w:rPr>
          <w:rFonts w:ascii="仿宋" w:hAnsi="仿宋" w:eastAsia="仿宋" w:cs="华文仿宋"/>
          <w:sz w:val="32"/>
          <w:szCs w:val="32"/>
          <w:lang w:val="en-US"/>
        </w:rPr>
        <w:t>（不含食宿）。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食宿费：住宿房型、食宿标准以及支付方式详见开课通知。</w:t>
      </w:r>
      <w:bookmarkStart w:id="0" w:name="_GoBack"/>
      <w:bookmarkEnd w:id="0"/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2.缴费方式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汇款信息如下：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单位名称：北京国家会计学院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汇款账号：1100 1020 1000 5603 0985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开户行：中国建设银行北京天竺支行（201）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3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hint="default" w:ascii="仿宋" w:hAnsi="仿宋" w:eastAsia="仿宋" w:cs="华文仿宋"/>
          <w:b/>
          <w:bCs/>
          <w:sz w:val="32"/>
          <w:szCs w:val="32"/>
          <w:lang w:val="en-US"/>
        </w:rPr>
        <w:t>特别提示：</w:t>
      </w:r>
      <w:r>
        <w:rPr>
          <w:rFonts w:ascii="仿宋" w:hAnsi="仿宋" w:eastAsia="仿宋" w:cs="华文仿宋"/>
          <w:sz w:val="32"/>
          <w:szCs w:val="32"/>
          <w:lang w:val="en-US"/>
        </w:rPr>
        <w:t>培训班如确定开班，学院将在开班前一周给学员发送《开课通知》。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如因报名人数</w:t>
      </w:r>
      <w:r>
        <w:rPr>
          <w:rFonts w:ascii="仿宋" w:hAnsi="仿宋" w:eastAsia="仿宋" w:cs="华文仿宋"/>
          <w:sz w:val="32"/>
          <w:szCs w:val="32"/>
          <w:lang w:val="en-US"/>
        </w:rPr>
        <w:t>低于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开班人数要求，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有权取消该班</w:t>
      </w:r>
      <w:r>
        <w:rPr>
          <w:rFonts w:ascii="仿宋" w:hAnsi="仿宋" w:eastAsia="仿宋" w:cs="华文仿宋"/>
          <w:sz w:val="32"/>
          <w:szCs w:val="32"/>
          <w:lang w:val="en-US"/>
        </w:rPr>
        <w:t>，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均不承担法律责任。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十、联系我们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联系人：邱老师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电话：010-645050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46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邮箱：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qiucc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@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mail.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nai.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edu.cn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WU3ZWNiMzgzNzAwZWVhYzBhOWY3ZTkwYzQyMjUifQ=="/>
  </w:docVars>
  <w:rsids>
    <w:rsidRoot w:val="1B927997"/>
    <w:rsid w:val="00060098"/>
    <w:rsid w:val="00093CFB"/>
    <w:rsid w:val="000A7EA1"/>
    <w:rsid w:val="00120BD7"/>
    <w:rsid w:val="0012146F"/>
    <w:rsid w:val="001457F1"/>
    <w:rsid w:val="00181B3D"/>
    <w:rsid w:val="001E04D7"/>
    <w:rsid w:val="00364F0F"/>
    <w:rsid w:val="003A686E"/>
    <w:rsid w:val="003F5246"/>
    <w:rsid w:val="0040799D"/>
    <w:rsid w:val="00455E39"/>
    <w:rsid w:val="0045737F"/>
    <w:rsid w:val="00580F7D"/>
    <w:rsid w:val="00670543"/>
    <w:rsid w:val="006765AD"/>
    <w:rsid w:val="00694325"/>
    <w:rsid w:val="0074716A"/>
    <w:rsid w:val="0088010D"/>
    <w:rsid w:val="00921F4A"/>
    <w:rsid w:val="00923D7B"/>
    <w:rsid w:val="0093478C"/>
    <w:rsid w:val="009B18C5"/>
    <w:rsid w:val="009C71E0"/>
    <w:rsid w:val="00A02F78"/>
    <w:rsid w:val="00A15FB9"/>
    <w:rsid w:val="00A31BB2"/>
    <w:rsid w:val="00CA3E2A"/>
    <w:rsid w:val="00CD51BB"/>
    <w:rsid w:val="00F563F5"/>
    <w:rsid w:val="00F64CCC"/>
    <w:rsid w:val="01590D50"/>
    <w:rsid w:val="03A4089B"/>
    <w:rsid w:val="082B21CD"/>
    <w:rsid w:val="0A745D33"/>
    <w:rsid w:val="0EE50085"/>
    <w:rsid w:val="14926D30"/>
    <w:rsid w:val="154A7127"/>
    <w:rsid w:val="159F6791"/>
    <w:rsid w:val="1B8C702D"/>
    <w:rsid w:val="1B927997"/>
    <w:rsid w:val="21752C6A"/>
    <w:rsid w:val="242158AD"/>
    <w:rsid w:val="2D5E3FF4"/>
    <w:rsid w:val="2DEC28E0"/>
    <w:rsid w:val="33151E4B"/>
    <w:rsid w:val="34DC5032"/>
    <w:rsid w:val="36B12BB1"/>
    <w:rsid w:val="3F8A6E6E"/>
    <w:rsid w:val="41E73E41"/>
    <w:rsid w:val="43255E5C"/>
    <w:rsid w:val="439B60C9"/>
    <w:rsid w:val="4DFD03C3"/>
    <w:rsid w:val="521B5645"/>
    <w:rsid w:val="52D40D60"/>
    <w:rsid w:val="5364260C"/>
    <w:rsid w:val="559162EC"/>
    <w:rsid w:val="583801FC"/>
    <w:rsid w:val="62EF46EC"/>
    <w:rsid w:val="64AC4CC1"/>
    <w:rsid w:val="66B108E6"/>
    <w:rsid w:val="6A9E69FE"/>
    <w:rsid w:val="6EDA5BDB"/>
    <w:rsid w:val="709905BC"/>
    <w:rsid w:val="72F3061A"/>
    <w:rsid w:val="76442A34"/>
    <w:rsid w:val="76764E51"/>
    <w:rsid w:val="792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17"/>
    <w:qFormat/>
    <w:uiPriority w:val="0"/>
    <w:rPr>
      <w:b/>
      <w:bCs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默认"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374</Words>
  <Characters>2136</Characters>
  <Lines>17</Lines>
  <Paragraphs>5</Paragraphs>
  <TotalTime>211</TotalTime>
  <ScaleCrop>false</ScaleCrop>
  <LinksUpToDate>false</LinksUpToDate>
  <CharactersWithSpaces>2505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2023-03-09T02:58:00Z</dcterms:created>
  <dc:creator>李青</dc:creator>
  <cp:lastModifiedBy>Administrator</cp:lastModifiedBy>
  <cp:lastPrinted>2023-03-13T08:17:00Z</cp:lastPrinted>
  <dcterms:modified xsi:type="dcterms:W3CDTF">2023-05-11T06:55:57Z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2EA997AB793B425486E46A6000F35648</vt:lpwstr>
  </property>
</Properties>
</file>