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bCs/>
          <w:sz w:val="36"/>
          <w:szCs w:val="36"/>
        </w:rPr>
      </w:pPr>
      <w:r>
        <w:rPr>
          <w:rFonts w:hint="eastAsia" w:ascii="仿宋" w:hAnsi="仿宋" w:eastAsia="仿宋" w:cs="仿宋_GB2312"/>
          <w:b/>
          <w:bCs/>
          <w:sz w:val="36"/>
          <w:szCs w:val="36"/>
        </w:rPr>
        <w:t>“数字经济时代内部审计实战技能提升”高级研修班</w:t>
      </w:r>
    </w:p>
    <w:p>
      <w:pPr>
        <w:spacing w:line="360" w:lineRule="auto"/>
        <w:jc w:val="center"/>
        <w:rPr>
          <w:rFonts w:ascii="仿宋" w:hAnsi="仿宋" w:eastAsia="仿宋" w:cs="仿宋_GB2312"/>
          <w:b/>
          <w:bCs/>
          <w:sz w:val="36"/>
          <w:szCs w:val="36"/>
        </w:rPr>
      </w:pPr>
      <w:r>
        <w:rPr>
          <w:rFonts w:hint="eastAsia" w:ascii="仿宋" w:hAnsi="仿宋" w:eastAsia="仿宋" w:cs="仿宋_GB2312"/>
          <w:b/>
          <w:bCs/>
          <w:sz w:val="36"/>
          <w:szCs w:val="36"/>
        </w:rPr>
        <w:t>招生简章</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一、培训背景</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中央审计委员会的成立是推进国家治理体系和治理能力现代化的一场深刻变革，是推进审计管理体制改革的伟大创举，也是我国审计改革和发展的里程碑。在此之后，《审计署关于内部审计工作的规定》的发布,使得内部审计工作得到前所未有的重视，是我国依法治国，不断完善审计相关法律法规的重要体现。这既给内部审计工作提供了更为宽广的空间,也对内部审计提出了更高的要求。</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近年来，随着大数据、人工智能等新兴技术的兴起，企业数据呈现爆发式增长。海量数据的存在对企业内部审计工作带来了巨大的挑战，内部审计的内容、流程和方法都需要变革和创新。新形势下，我们应该深刻认识内部审计工作的新要求、新发展，提高政治站位，准确把握内部审计工作的职责定位，积极推动内部审计工作创新发展。</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北京国家会计学院已经成功举办了八十多期涉及内部审计主题的高级研修班，积累了大量教学案例。为了帮助各单位全面强化内部审计专业技能，提高内部审计人员综合素质，面对新形势，学会综合运用各种新技术、新方法，推动内部审计的转型升级，继续推出《数字经济时代内部审计实战技能提升》高级研修班。</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二、培训收益</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1.帮助学员掌握数字经济时代内部审计的新发展、新要求；</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2.帮助学员掌握内部审计的最新工具与方法；</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3.帮助企业建立健全内部审计制度，提升内部审计工作质量；</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4.帮助学员了解风险导向审计、内控审计与风险管理审计实务的区别与联系；</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5.帮助学员掌握大数据审计的技术和方法，促进企业数字化转型。</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三</w:t>
      </w:r>
      <w:r>
        <w:rPr>
          <w:rFonts w:ascii="仿宋" w:hAnsi="仿宋" w:eastAsia="仿宋" w:cs="仿宋_GB2312"/>
          <w:b/>
          <w:bCs/>
          <w:sz w:val="32"/>
          <w:szCs w:val="32"/>
        </w:rPr>
        <w:t>、</w:t>
      </w:r>
      <w:r>
        <w:rPr>
          <w:rFonts w:hint="eastAsia" w:ascii="仿宋" w:hAnsi="仿宋" w:eastAsia="仿宋" w:cs="仿宋_GB2312"/>
          <w:b/>
          <w:bCs/>
          <w:sz w:val="32"/>
          <w:szCs w:val="32"/>
        </w:rPr>
        <w:t>培训对象</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1.内审总监、内审经理、内审处长等内部审计部门负责人及高级主管；</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2.银行、保险、证券公司内部稽核部门负责人及高级主管；</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3.纪检监察部门负责人及其业务骨干；</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4.内部审计部门从业人员；</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5.准备从事内部审计行业的注册会计师、会计师等职业人士；</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6.高校从事内部审计理论研究与实务教学的教师。</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四</w:t>
      </w:r>
      <w:r>
        <w:rPr>
          <w:rFonts w:ascii="仿宋" w:hAnsi="仿宋" w:eastAsia="仿宋" w:cs="仿宋_GB2312"/>
          <w:b/>
          <w:bCs/>
          <w:sz w:val="32"/>
          <w:szCs w:val="32"/>
        </w:rPr>
        <w:t>、</w:t>
      </w:r>
      <w:r>
        <w:rPr>
          <w:rFonts w:hint="eastAsia" w:ascii="仿宋" w:hAnsi="仿宋" w:eastAsia="仿宋" w:cs="仿宋_GB2312"/>
          <w:b/>
          <w:bCs/>
          <w:sz w:val="32"/>
          <w:szCs w:val="32"/>
        </w:rPr>
        <w:t>培训内容</w:t>
      </w:r>
    </w:p>
    <w:p>
      <w:pPr>
        <w:widowControl/>
        <w:shd w:val="clear" w:color="auto" w:fill="FFFFFF"/>
        <w:spacing w:line="360" w:lineRule="auto"/>
        <w:ind w:firstLine="643" w:firstLineChars="200"/>
        <w:rPr>
          <w:rFonts w:ascii="仿宋" w:hAnsi="仿宋" w:eastAsia="仿宋" w:cs="仿宋_GB2312"/>
          <w:b/>
          <w:sz w:val="32"/>
          <w:szCs w:val="32"/>
        </w:rPr>
      </w:pPr>
      <w:r>
        <w:rPr>
          <w:rFonts w:ascii="仿宋" w:hAnsi="仿宋" w:eastAsia="仿宋" w:cs="仿宋_GB2312"/>
          <w:b/>
          <w:sz w:val="32"/>
          <w:szCs w:val="32"/>
        </w:rPr>
        <w:t>（一）数字经济引领内部审计转型</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1.数字经济的涵义、特征及其技术</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2.数字经济对于内部审计发展的影响</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3.内部审计人员如何应对数字经济的挑战</w:t>
      </w:r>
    </w:p>
    <w:p>
      <w:pPr>
        <w:widowControl/>
        <w:shd w:val="clear" w:color="auto" w:fill="FFFFFF"/>
        <w:spacing w:line="360" w:lineRule="auto"/>
        <w:ind w:firstLine="643" w:firstLineChars="200"/>
        <w:rPr>
          <w:rFonts w:ascii="仿宋" w:hAnsi="仿宋" w:eastAsia="仿宋" w:cs="仿宋_GB2312"/>
          <w:b/>
          <w:sz w:val="32"/>
          <w:szCs w:val="32"/>
        </w:rPr>
      </w:pPr>
      <w:r>
        <w:rPr>
          <w:rFonts w:ascii="仿宋" w:hAnsi="仿宋" w:eastAsia="仿宋" w:cs="仿宋_GB2312"/>
          <w:b/>
          <w:sz w:val="32"/>
          <w:szCs w:val="32"/>
        </w:rPr>
        <w:t>（二）大数据审计技术的发展</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1.大数据在审计中的运用</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2.大数据审计的趋势与挑战</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3.大数据审计的技术与方法</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4.大数据审计技术及平台建设经验分享</w:t>
      </w:r>
    </w:p>
    <w:p>
      <w:pPr>
        <w:widowControl/>
        <w:shd w:val="clear" w:color="auto" w:fill="FFFFFF"/>
        <w:spacing w:line="360" w:lineRule="auto"/>
        <w:ind w:firstLine="643" w:firstLineChars="200"/>
        <w:rPr>
          <w:rFonts w:ascii="仿宋" w:hAnsi="仿宋" w:eastAsia="仿宋" w:cs="仿宋_GB2312"/>
          <w:b/>
          <w:sz w:val="32"/>
          <w:szCs w:val="32"/>
        </w:rPr>
      </w:pPr>
      <w:r>
        <w:rPr>
          <w:rFonts w:ascii="仿宋" w:hAnsi="仿宋" w:eastAsia="仿宋" w:cs="仿宋_GB2312"/>
          <w:b/>
          <w:sz w:val="32"/>
          <w:szCs w:val="32"/>
        </w:rPr>
        <w:t>（三）经济责任审计新规解读与应用</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1.经济责任审计最新政策法规解读</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2.经济责任审计的内容与重点</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3.经济责任审计疑难问题与应对之策</w:t>
      </w:r>
    </w:p>
    <w:p>
      <w:pPr>
        <w:widowControl/>
        <w:shd w:val="clear" w:color="auto" w:fill="FFFFFF"/>
        <w:spacing w:line="360" w:lineRule="auto"/>
        <w:ind w:firstLine="643" w:firstLineChars="200"/>
        <w:rPr>
          <w:rFonts w:ascii="仿宋" w:hAnsi="仿宋" w:eastAsia="仿宋" w:cs="仿宋_GB2312"/>
          <w:b/>
          <w:sz w:val="32"/>
          <w:szCs w:val="32"/>
        </w:rPr>
      </w:pPr>
      <w:r>
        <w:rPr>
          <w:rFonts w:ascii="仿宋" w:hAnsi="仿宋" w:eastAsia="仿宋" w:cs="仿宋_GB2312"/>
          <w:b/>
          <w:sz w:val="32"/>
          <w:szCs w:val="32"/>
        </w:rPr>
        <w:t>（四）风险导向内部审计实务</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1.风险导向的审计思路</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2.以风险为导向的内部审计框架</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3.风险导向的内部审计流程</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（1）以风险为导向制定审计计划</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（2）以风险为导向实施内部审计项目</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（3）内部审计报告撰写技巧</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（4）以风险为导向内部审计问题整改督导</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（5）以风险为导向内部审计工具</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4.经营与投资项目的重大风险识别</w:t>
      </w:r>
    </w:p>
    <w:p>
      <w:pPr>
        <w:widowControl/>
        <w:shd w:val="clear" w:color="auto" w:fill="FFFFFF"/>
        <w:spacing w:line="360" w:lineRule="auto"/>
        <w:ind w:firstLine="643" w:firstLineChars="200"/>
        <w:rPr>
          <w:rFonts w:ascii="仿宋" w:hAnsi="仿宋" w:eastAsia="仿宋" w:cs="仿宋_GB2312"/>
          <w:b/>
          <w:sz w:val="32"/>
          <w:szCs w:val="32"/>
        </w:rPr>
      </w:pPr>
      <w:r>
        <w:rPr>
          <w:rFonts w:ascii="仿宋" w:hAnsi="仿宋" w:eastAsia="仿宋" w:cs="仿宋_GB2312"/>
          <w:b/>
          <w:sz w:val="32"/>
          <w:szCs w:val="32"/>
        </w:rPr>
        <w:t>（五）采购审计与舞弊调查</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1.采购的基础知识与监察要点</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2.采购过程中价格管理、质量管理、周期管理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3.采购计划、存货及仓储管理关注重点和审计方法</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4.围标串标典型案例分析</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5.舞弊调查的思路与技巧</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6.舞弊调查的后续处置</w:t>
      </w:r>
    </w:p>
    <w:p>
      <w:pPr>
        <w:widowControl/>
        <w:shd w:val="clear" w:color="auto" w:fill="FFFFFF"/>
        <w:spacing w:line="360" w:lineRule="auto"/>
        <w:ind w:firstLine="643" w:firstLineChars="200"/>
        <w:rPr>
          <w:rFonts w:ascii="仿宋" w:hAnsi="仿宋" w:eastAsia="仿宋" w:cs="仿宋_GB2312"/>
          <w:b/>
          <w:sz w:val="32"/>
          <w:szCs w:val="32"/>
        </w:rPr>
      </w:pPr>
      <w:r>
        <w:rPr>
          <w:rFonts w:ascii="仿宋" w:hAnsi="仿宋" w:eastAsia="仿宋" w:cs="仿宋_GB2312"/>
          <w:b/>
          <w:sz w:val="32"/>
          <w:szCs w:val="32"/>
        </w:rPr>
        <w:t>（六）供应商监控与合同审计</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1.供应商风险管控</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（1）业务环节管控</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（2）供应商画像</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（3）客商画像与智能分析</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（4）风险预警与管控</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2.合同审计与风险管控</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（1）经济合同签约前、履行过程及结算前应审查的内容</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（2）经济合同审计思路与方法</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（3）合同风险管控</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五、培训方式</w:t>
      </w:r>
    </w:p>
    <w:p>
      <w:pPr>
        <w:widowControl/>
        <w:shd w:val="clear" w:color="auto" w:fill="FFFFFF"/>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为帮助企业财务人员更快地了解课程资讯，更有效地掌握培训内容，本研修班以面授课堂为主，同时将免费推送给学员与本主题相关的精品录播课程，方便学员利用网络课堂提前预习、巩固相关专业知识，再结合面授课堂进一步强化、拓展。</w:t>
      </w:r>
    </w:p>
    <w:p>
      <w:pPr>
        <w:widowControl/>
        <w:shd w:val="clear" w:color="auto" w:fill="FFFFFF"/>
        <w:spacing w:line="360" w:lineRule="auto"/>
        <w:rPr>
          <w:rFonts w:ascii="仿宋" w:hAnsi="仿宋" w:eastAsia="仿宋" w:cs="华文仿宋"/>
          <w:spacing w:val="6"/>
          <w:kern w:val="0"/>
          <w:sz w:val="32"/>
          <w:szCs w:val="32"/>
        </w:rPr>
      </w:pPr>
      <w:r>
        <w:rPr>
          <w:rFonts w:hint="eastAsia" w:ascii="仿宋" w:hAnsi="仿宋" w:eastAsia="仿宋" w:cs="仿宋_GB2312"/>
          <w:b/>
          <w:sz w:val="32"/>
          <w:szCs w:val="32"/>
        </w:rPr>
        <w:t>六</w:t>
      </w:r>
      <w:r>
        <w:rPr>
          <w:rFonts w:hint="eastAsia" w:ascii="仿宋" w:hAnsi="仿宋" w:eastAsia="仿宋" w:cs="华文仿宋"/>
          <w:b/>
          <w:bCs/>
          <w:spacing w:val="5"/>
          <w:kern w:val="0"/>
          <w:sz w:val="32"/>
          <w:szCs w:val="32"/>
        </w:rPr>
        <w:t>、师资力量</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所有课程由北京国家会计学院精心组织的专门师资团队授课，授课老师分别来自高校、实务届、政府部门，皆具有深厚理论功底及丰富实践经验。具体师资以实际课表为准。</w:t>
      </w:r>
    </w:p>
    <w:p>
      <w:pPr>
        <w:widowControl/>
        <w:shd w:val="clear" w:color="auto" w:fill="FFFFFF"/>
        <w:spacing w:line="360" w:lineRule="auto"/>
        <w:rPr>
          <w:rFonts w:ascii="仿宋" w:hAnsi="仿宋" w:eastAsia="仿宋" w:cs="华文仿宋"/>
          <w:b/>
          <w:bCs/>
          <w:spacing w:val="5"/>
          <w:kern w:val="0"/>
          <w:sz w:val="32"/>
          <w:szCs w:val="32"/>
        </w:rPr>
      </w:pPr>
      <w:r>
        <w:rPr>
          <w:rFonts w:hint="eastAsia" w:ascii="仿宋" w:hAnsi="仿宋" w:eastAsia="仿宋" w:cs="华文仿宋"/>
          <w:b/>
          <w:bCs/>
          <w:spacing w:val="5"/>
          <w:kern w:val="0"/>
          <w:sz w:val="32"/>
          <w:szCs w:val="32"/>
        </w:rPr>
        <w:t>七、面授时间地点</w:t>
      </w:r>
    </w:p>
    <w:tbl>
      <w:tblPr>
        <w:tblStyle w:val="10"/>
        <w:tblpPr w:vertAnchor="text"/>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2F6F7"/>
        <w:tblLayout w:type="autofit"/>
        <w:tblCellMar>
          <w:top w:w="0" w:type="dxa"/>
          <w:left w:w="0" w:type="dxa"/>
          <w:bottom w:w="0" w:type="dxa"/>
          <w:right w:w="0" w:type="dxa"/>
        </w:tblCellMar>
      </w:tblPr>
      <w:tblGrid>
        <w:gridCol w:w="1335"/>
        <w:gridCol w:w="1786"/>
        <w:gridCol w:w="1673"/>
        <w:gridCol w:w="2032"/>
        <w:gridCol w:w="14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2F6F7"/>
          <w:tblCellMar>
            <w:top w:w="0" w:type="dxa"/>
            <w:left w:w="0" w:type="dxa"/>
            <w:bottom w:w="0" w:type="dxa"/>
            <w:right w:w="0" w:type="dxa"/>
          </w:tblCellMar>
        </w:tblPrEx>
        <w:trPr>
          <w:trHeight w:val="694" w:hRule="atLeast"/>
        </w:trPr>
        <w:tc>
          <w:tcPr>
            <w:tcW w:w="802"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期     数</w:t>
            </w:r>
          </w:p>
        </w:tc>
        <w:tc>
          <w:tcPr>
            <w:tcW w:w="1073"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报到时间</w:t>
            </w:r>
          </w:p>
        </w:tc>
        <w:tc>
          <w:tcPr>
            <w:tcW w:w="1005"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hint="eastAsia" w:ascii="仿宋" w:hAnsi="仿宋" w:eastAsia="仿宋" w:cs="仿宋_GB2312"/>
                <w:color w:val="535455"/>
                <w:sz w:val="28"/>
                <w:szCs w:val="28"/>
                <w:lang w:eastAsia="zh-CN"/>
              </w:rPr>
              <w:t>开始</w:t>
            </w:r>
            <w:r>
              <w:rPr>
                <w:rFonts w:ascii="仿宋" w:hAnsi="仿宋" w:eastAsia="仿宋" w:cs="仿宋_GB2312"/>
                <w:color w:val="535455"/>
                <w:sz w:val="28"/>
                <w:szCs w:val="28"/>
              </w:rPr>
              <w:t>时间</w:t>
            </w:r>
          </w:p>
        </w:tc>
        <w:tc>
          <w:tcPr>
            <w:tcW w:w="1221"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结束时间</w:t>
            </w:r>
          </w:p>
        </w:tc>
        <w:tc>
          <w:tcPr>
            <w:tcW w:w="897"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培训地点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总第91期</w:t>
            </w:r>
          </w:p>
        </w:tc>
        <w:tc>
          <w:tcPr>
            <w:tcW w:w="1073"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3月21日</w:t>
            </w:r>
          </w:p>
        </w:tc>
        <w:tc>
          <w:tcPr>
            <w:tcW w:w="1005"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3月22日</w:t>
            </w:r>
          </w:p>
        </w:tc>
        <w:tc>
          <w:tcPr>
            <w:tcW w:w="1221"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3月25日</w:t>
            </w:r>
          </w:p>
        </w:tc>
        <w:tc>
          <w:tcPr>
            <w:tcW w:w="897"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北京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总第92期</w:t>
            </w:r>
          </w:p>
        </w:tc>
        <w:tc>
          <w:tcPr>
            <w:tcW w:w="1073"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5月23日</w:t>
            </w:r>
          </w:p>
        </w:tc>
        <w:tc>
          <w:tcPr>
            <w:tcW w:w="1005"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5月24日</w:t>
            </w:r>
          </w:p>
        </w:tc>
        <w:tc>
          <w:tcPr>
            <w:tcW w:w="1221"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5月27日</w:t>
            </w:r>
          </w:p>
        </w:tc>
        <w:tc>
          <w:tcPr>
            <w:tcW w:w="897"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重庆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总第93期</w:t>
            </w:r>
          </w:p>
        </w:tc>
        <w:tc>
          <w:tcPr>
            <w:tcW w:w="1073"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7月18日</w:t>
            </w:r>
          </w:p>
        </w:tc>
        <w:tc>
          <w:tcPr>
            <w:tcW w:w="1005"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7月19日</w:t>
            </w:r>
          </w:p>
        </w:tc>
        <w:tc>
          <w:tcPr>
            <w:tcW w:w="1221"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7月22日</w:t>
            </w:r>
          </w:p>
        </w:tc>
        <w:tc>
          <w:tcPr>
            <w:tcW w:w="897"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长沙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总第94期</w:t>
            </w:r>
          </w:p>
        </w:tc>
        <w:tc>
          <w:tcPr>
            <w:tcW w:w="1073"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9月19日</w:t>
            </w:r>
          </w:p>
        </w:tc>
        <w:tc>
          <w:tcPr>
            <w:tcW w:w="1005"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9月20日</w:t>
            </w:r>
          </w:p>
        </w:tc>
        <w:tc>
          <w:tcPr>
            <w:tcW w:w="1221"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9月23日</w:t>
            </w:r>
          </w:p>
        </w:tc>
        <w:tc>
          <w:tcPr>
            <w:tcW w:w="897"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北京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总第95期</w:t>
            </w:r>
          </w:p>
        </w:tc>
        <w:tc>
          <w:tcPr>
            <w:tcW w:w="1073"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11月21日</w:t>
            </w:r>
          </w:p>
        </w:tc>
        <w:tc>
          <w:tcPr>
            <w:tcW w:w="1005"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11月22日</w:t>
            </w:r>
          </w:p>
        </w:tc>
        <w:tc>
          <w:tcPr>
            <w:tcW w:w="1221"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11月25日</w:t>
            </w:r>
          </w:p>
        </w:tc>
        <w:tc>
          <w:tcPr>
            <w:tcW w:w="897" w:type="pct"/>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珠海</w:t>
            </w:r>
          </w:p>
        </w:tc>
      </w:tr>
    </w:tbl>
    <w:p>
      <w:pPr>
        <w:pStyle w:val="3"/>
        <w:keepNext w:val="0"/>
        <w:keepLines w:val="0"/>
        <w:spacing w:before="0" w:after="0" w:line="360" w:lineRule="auto"/>
        <w:rPr>
          <w:rFonts w:ascii="仿宋" w:hAnsi="仿宋" w:eastAsia="仿宋" w:cs="华文仿宋"/>
          <w:kern w:val="0"/>
        </w:rPr>
      </w:pPr>
      <w:r>
        <w:rPr>
          <w:rFonts w:hint="eastAsia" w:ascii="仿宋" w:hAnsi="仿宋" w:eastAsia="仿宋" w:cs="华文仿宋"/>
          <w:kern w:val="0"/>
        </w:rPr>
        <w:t>八、结业及考核</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b/>
          <w:bCs/>
          <w:sz w:val="32"/>
          <w:szCs w:val="32"/>
        </w:rPr>
      </w:pPr>
      <w:r>
        <w:rPr>
          <w:rFonts w:ascii="仿宋" w:hAnsi="仿宋" w:eastAsia="仿宋" w:cs="华文仿宋"/>
          <w:sz w:val="32"/>
          <w:szCs w:val="32"/>
        </w:rPr>
        <w:t>完成全部课程学习，</w:t>
      </w:r>
      <w:r>
        <w:rPr>
          <w:rFonts w:ascii="仿宋" w:hAnsi="仿宋" w:eastAsia="仿宋" w:cs="华文仿宋"/>
          <w:sz w:val="32"/>
          <w:szCs w:val="32"/>
          <w:lang w:val="en-US"/>
        </w:rPr>
        <w:t>学员可获得</w:t>
      </w:r>
      <w:r>
        <w:rPr>
          <w:rFonts w:ascii="仿宋" w:hAnsi="仿宋" w:eastAsia="仿宋" w:cs="华文仿宋"/>
          <w:sz w:val="32"/>
          <w:szCs w:val="32"/>
        </w:rPr>
        <w:t>北京国家会计学院</w:t>
      </w:r>
      <w:r>
        <w:rPr>
          <w:rFonts w:ascii="仿宋" w:hAnsi="仿宋" w:eastAsia="仿宋" w:cs="华文仿宋"/>
          <w:sz w:val="32"/>
          <w:szCs w:val="32"/>
          <w:lang w:val="en-US"/>
        </w:rPr>
        <w:t>颁发的研修班</w:t>
      </w:r>
      <w:r>
        <w:rPr>
          <w:rFonts w:ascii="仿宋" w:hAnsi="仿宋" w:eastAsia="仿宋" w:cs="华文仿宋"/>
          <w:sz w:val="32"/>
          <w:szCs w:val="32"/>
        </w:rPr>
        <w:t>结业证书（</w:t>
      </w:r>
      <w:r>
        <w:rPr>
          <w:rFonts w:ascii="仿宋" w:hAnsi="仿宋" w:eastAsia="仿宋" w:cs="华文仿宋"/>
          <w:sz w:val="32"/>
          <w:szCs w:val="32"/>
          <w:lang w:val="en-US"/>
        </w:rPr>
        <w:t>电子版</w:t>
      </w:r>
      <w:r>
        <w:rPr>
          <w:rFonts w:ascii="仿宋" w:hAnsi="仿宋" w:eastAsia="仿宋" w:cs="华文仿宋"/>
          <w:sz w:val="32"/>
          <w:szCs w:val="32"/>
        </w:rPr>
        <w:t>）。</w:t>
      </w:r>
    </w:p>
    <w:p>
      <w:pPr>
        <w:pStyle w:val="3"/>
        <w:keepNext w:val="0"/>
        <w:keepLines w:val="0"/>
        <w:spacing w:before="0" w:after="0" w:line="360" w:lineRule="auto"/>
        <w:rPr>
          <w:rFonts w:ascii="仿宋" w:hAnsi="仿宋" w:eastAsia="仿宋" w:cs="华文仿宋"/>
          <w:kern w:val="0"/>
        </w:rPr>
      </w:pPr>
      <w:r>
        <w:rPr>
          <w:rFonts w:hint="eastAsia" w:ascii="仿宋" w:hAnsi="仿宋" w:eastAsia="仿宋" w:cs="华文仿宋"/>
          <w:kern w:val="0"/>
        </w:rPr>
        <w:t>九、收费标准和</w:t>
      </w:r>
      <w:r>
        <w:rPr>
          <w:rFonts w:ascii="仿宋" w:hAnsi="仿宋" w:eastAsia="仿宋" w:cs="华文仿宋"/>
          <w:kern w:val="0"/>
        </w:rPr>
        <w:t>缴费方式</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lang w:val="en-US"/>
        </w:rPr>
        <w:t>1.收费标准</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rPr>
        <w:t>培训费：人民币</w:t>
      </w:r>
      <w:r>
        <w:rPr>
          <w:rFonts w:hint="default" w:ascii="仿宋" w:hAnsi="仿宋" w:eastAsia="仿宋" w:cs="华文仿宋"/>
          <w:sz w:val="32"/>
          <w:szCs w:val="32"/>
          <w:lang w:val="en-US"/>
        </w:rPr>
        <w:t>480</w:t>
      </w:r>
      <w:r>
        <w:rPr>
          <w:rFonts w:ascii="仿宋" w:hAnsi="仿宋" w:eastAsia="仿宋" w:cs="华文仿宋"/>
          <w:sz w:val="32"/>
          <w:szCs w:val="32"/>
          <w:lang w:val="en-US"/>
        </w:rPr>
        <w:t>0</w:t>
      </w:r>
      <w:r>
        <w:rPr>
          <w:rFonts w:ascii="仿宋" w:hAnsi="仿宋" w:eastAsia="仿宋" w:cs="华文仿宋"/>
          <w:sz w:val="32"/>
          <w:szCs w:val="32"/>
        </w:rPr>
        <w:t>元/人</w:t>
      </w:r>
      <w:r>
        <w:rPr>
          <w:rFonts w:ascii="仿宋" w:hAnsi="仿宋" w:eastAsia="仿宋" w:cs="华文仿宋"/>
          <w:sz w:val="32"/>
          <w:szCs w:val="32"/>
          <w:lang w:val="en-US"/>
        </w:rPr>
        <w:t>（不含食宿）。</w:t>
      </w:r>
      <w:bookmarkStart w:id="0" w:name="_GoBack"/>
      <w:bookmarkEnd w:id="0"/>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lang w:val="en-US"/>
        </w:rPr>
        <w:t>食宿费：住宿房型、食宿标准以及支付方式详见开课通知。</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lang w:val="en-US"/>
        </w:rPr>
        <w:t>2.缴费方式</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lang w:val="en-US"/>
        </w:rPr>
        <w:t>学员报到时可现场刷储蓄卡、信用卡或者通过微信扫码、银行汇款等方式支付培训费。扫码支付可立即开具电子发票。</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lang w:val="en-US"/>
        </w:rPr>
        <w:t>汇款信息如下：</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rPr>
      </w:pPr>
      <w:r>
        <w:rPr>
          <w:rFonts w:ascii="仿宋" w:hAnsi="仿宋" w:eastAsia="仿宋" w:cs="华文仿宋"/>
          <w:sz w:val="32"/>
          <w:szCs w:val="32"/>
        </w:rPr>
        <w:t>单位名称：北京国家会计学院</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rPr>
      </w:pPr>
      <w:r>
        <w:rPr>
          <w:rFonts w:ascii="仿宋" w:hAnsi="仿宋" w:eastAsia="仿宋" w:cs="华文仿宋"/>
          <w:sz w:val="32"/>
          <w:szCs w:val="32"/>
        </w:rPr>
        <w:t>汇款账号：1100 1020 1000 5603 0985</w:t>
      </w:r>
    </w:p>
    <w:p>
      <w:pPr>
        <w:pStyle w:val="1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rPr>
      </w:pPr>
      <w:r>
        <w:rPr>
          <w:rFonts w:ascii="仿宋" w:hAnsi="仿宋" w:eastAsia="仿宋" w:cs="华文仿宋"/>
          <w:sz w:val="32"/>
          <w:szCs w:val="32"/>
        </w:rPr>
        <w:t>开户行：中国建设银行北京天竺支行（201）</w:t>
      </w:r>
    </w:p>
    <w:p>
      <w:pPr>
        <w:pStyle w:val="1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3" w:firstLineChars="200"/>
        <w:jc w:val="both"/>
        <w:rPr>
          <w:rFonts w:hint="default" w:ascii="仿宋" w:hAnsi="仿宋" w:eastAsia="仿宋" w:cs="华文仿宋"/>
          <w:sz w:val="32"/>
          <w:szCs w:val="32"/>
          <w:lang w:val="en-US"/>
        </w:rPr>
      </w:pPr>
      <w:r>
        <w:rPr>
          <w:rFonts w:hint="default" w:ascii="仿宋" w:hAnsi="仿宋" w:eastAsia="仿宋" w:cs="华文仿宋"/>
          <w:b/>
          <w:bCs/>
          <w:sz w:val="32"/>
          <w:szCs w:val="32"/>
          <w:lang w:val="en-US"/>
        </w:rPr>
        <w:t>特别提示：</w:t>
      </w:r>
      <w:r>
        <w:rPr>
          <w:rFonts w:ascii="仿宋" w:hAnsi="仿宋" w:eastAsia="仿宋" w:cs="华文仿宋"/>
          <w:sz w:val="32"/>
          <w:szCs w:val="32"/>
          <w:lang w:val="en-US"/>
        </w:rPr>
        <w:t>培训班如确定开班，学院将在开班前一周给学员发送《开课通知》。</w:t>
      </w:r>
      <w:r>
        <w:rPr>
          <w:rFonts w:hint="default" w:ascii="仿宋" w:hAnsi="仿宋" w:eastAsia="仿宋" w:cs="华文仿宋"/>
          <w:sz w:val="32"/>
          <w:szCs w:val="32"/>
          <w:lang w:val="en-US"/>
        </w:rPr>
        <w:t>如因报名人数</w:t>
      </w:r>
      <w:r>
        <w:rPr>
          <w:rFonts w:ascii="仿宋" w:hAnsi="仿宋" w:eastAsia="仿宋" w:cs="华文仿宋"/>
          <w:sz w:val="32"/>
          <w:szCs w:val="32"/>
          <w:lang w:val="en-US"/>
        </w:rPr>
        <w:t>低于</w:t>
      </w:r>
      <w:r>
        <w:rPr>
          <w:rFonts w:hint="default" w:ascii="仿宋" w:hAnsi="仿宋" w:eastAsia="仿宋" w:cs="华文仿宋"/>
          <w:sz w:val="32"/>
          <w:szCs w:val="32"/>
          <w:lang w:val="en-US"/>
        </w:rPr>
        <w:t>开班人数要求，</w:t>
      </w:r>
      <w:r>
        <w:rPr>
          <w:rFonts w:ascii="仿宋" w:hAnsi="仿宋" w:eastAsia="仿宋" w:cs="华文仿宋"/>
          <w:sz w:val="32"/>
          <w:szCs w:val="32"/>
          <w:lang w:val="en-US"/>
        </w:rPr>
        <w:t>学院</w:t>
      </w:r>
      <w:r>
        <w:rPr>
          <w:rFonts w:hint="default" w:ascii="仿宋" w:hAnsi="仿宋" w:eastAsia="仿宋" w:cs="华文仿宋"/>
          <w:sz w:val="32"/>
          <w:szCs w:val="32"/>
          <w:lang w:val="en-US"/>
        </w:rPr>
        <w:t>有权取消该班</w:t>
      </w:r>
      <w:r>
        <w:rPr>
          <w:rFonts w:ascii="仿宋" w:hAnsi="仿宋" w:eastAsia="仿宋" w:cs="华文仿宋"/>
          <w:sz w:val="32"/>
          <w:szCs w:val="32"/>
          <w:lang w:val="en-US"/>
        </w:rPr>
        <w:t>，</w:t>
      </w:r>
      <w:r>
        <w:rPr>
          <w:rFonts w:hint="default" w:ascii="仿宋" w:hAnsi="仿宋" w:eastAsia="仿宋" w:cs="华文仿宋"/>
          <w:sz w:val="32"/>
          <w:szCs w:val="32"/>
          <w:lang w:val="en-US"/>
        </w:rPr>
        <w:t>对学员已缴纳的费用予以全额退还，但不承担任何赔偿。对任何因信赖该班可以如期举行而导致的任何直接、间接损失，包括但不限于差旅费损失、误工费损失等，</w:t>
      </w:r>
      <w:r>
        <w:rPr>
          <w:rFonts w:ascii="仿宋" w:hAnsi="仿宋" w:eastAsia="仿宋" w:cs="华文仿宋"/>
          <w:sz w:val="32"/>
          <w:szCs w:val="32"/>
          <w:lang w:val="en-US"/>
        </w:rPr>
        <w:t>学院</w:t>
      </w:r>
      <w:r>
        <w:rPr>
          <w:rFonts w:hint="default" w:ascii="仿宋" w:hAnsi="仿宋" w:eastAsia="仿宋" w:cs="华文仿宋"/>
          <w:sz w:val="32"/>
          <w:szCs w:val="32"/>
          <w:lang w:val="en-US"/>
        </w:rPr>
        <w:t>均不承担法律责任。</w:t>
      </w:r>
    </w:p>
    <w:p>
      <w:pPr>
        <w:widowControl/>
        <w:shd w:val="clear" w:color="auto" w:fill="FFFFFF"/>
        <w:spacing w:line="360" w:lineRule="auto"/>
        <w:rPr>
          <w:rFonts w:ascii="仿宋" w:hAnsi="仿宋" w:eastAsia="仿宋" w:cs="华文仿宋"/>
          <w:b/>
          <w:bCs/>
          <w:kern w:val="0"/>
          <w:sz w:val="32"/>
          <w:szCs w:val="32"/>
        </w:rPr>
      </w:pPr>
      <w:r>
        <w:rPr>
          <w:rFonts w:hint="eastAsia" w:ascii="仿宋" w:hAnsi="仿宋" w:eastAsia="仿宋" w:cs="华文仿宋"/>
          <w:b/>
          <w:bCs/>
          <w:kern w:val="0"/>
          <w:sz w:val="32"/>
          <w:szCs w:val="32"/>
        </w:rPr>
        <w:t>十、联系我们</w:t>
      </w:r>
    </w:p>
    <w:p>
      <w:pPr>
        <w:widowControl/>
        <w:shd w:val="clear" w:color="auto" w:fill="FFFFFF"/>
        <w:spacing w:line="360" w:lineRule="auto"/>
        <w:ind w:firstLine="660" w:firstLineChars="200"/>
        <w:rPr>
          <w:rFonts w:ascii="仿宋" w:hAnsi="仿宋" w:eastAsia="仿宋" w:cs="华文仿宋"/>
          <w:spacing w:val="5"/>
          <w:kern w:val="0"/>
          <w:sz w:val="32"/>
          <w:szCs w:val="32"/>
        </w:rPr>
      </w:pPr>
      <w:r>
        <w:rPr>
          <w:rFonts w:hint="eastAsia" w:ascii="仿宋" w:hAnsi="仿宋" w:eastAsia="仿宋" w:cs="华文仿宋"/>
          <w:spacing w:val="5"/>
          <w:kern w:val="0"/>
          <w:sz w:val="32"/>
          <w:szCs w:val="32"/>
        </w:rPr>
        <w:t>联系人：邱老师</w:t>
      </w:r>
    </w:p>
    <w:p>
      <w:pPr>
        <w:widowControl/>
        <w:shd w:val="clear" w:color="auto" w:fill="FFFFFF"/>
        <w:spacing w:line="360" w:lineRule="auto"/>
        <w:ind w:firstLine="660" w:firstLineChars="200"/>
        <w:rPr>
          <w:rFonts w:ascii="仿宋" w:hAnsi="仿宋" w:eastAsia="仿宋" w:cs="华文仿宋"/>
          <w:spacing w:val="5"/>
          <w:kern w:val="0"/>
          <w:sz w:val="32"/>
          <w:szCs w:val="32"/>
        </w:rPr>
      </w:pPr>
      <w:r>
        <w:rPr>
          <w:rFonts w:hint="eastAsia" w:ascii="仿宋" w:hAnsi="仿宋" w:eastAsia="仿宋" w:cs="华文仿宋"/>
          <w:spacing w:val="5"/>
          <w:kern w:val="0"/>
          <w:sz w:val="32"/>
          <w:szCs w:val="32"/>
        </w:rPr>
        <w:t>电话：010-645050</w:t>
      </w:r>
      <w:r>
        <w:rPr>
          <w:rFonts w:ascii="仿宋" w:hAnsi="仿宋" w:eastAsia="仿宋" w:cs="华文仿宋"/>
          <w:spacing w:val="5"/>
          <w:kern w:val="0"/>
          <w:sz w:val="32"/>
          <w:szCs w:val="32"/>
        </w:rPr>
        <w:t>46</w:t>
      </w:r>
    </w:p>
    <w:p>
      <w:pPr>
        <w:widowControl/>
        <w:shd w:val="clear" w:color="auto" w:fill="FFFFFF"/>
        <w:spacing w:line="360" w:lineRule="auto"/>
        <w:ind w:firstLine="660" w:firstLineChars="200"/>
        <w:rPr>
          <w:rFonts w:ascii="仿宋" w:hAnsi="仿宋" w:eastAsia="仿宋" w:cs="华文仿宋"/>
          <w:spacing w:val="5"/>
          <w:kern w:val="0"/>
          <w:sz w:val="32"/>
          <w:szCs w:val="32"/>
        </w:rPr>
      </w:pPr>
      <w:r>
        <w:rPr>
          <w:rFonts w:hint="eastAsia" w:ascii="仿宋" w:hAnsi="仿宋" w:eastAsia="仿宋" w:cs="华文仿宋"/>
          <w:spacing w:val="5"/>
          <w:kern w:val="0"/>
          <w:sz w:val="32"/>
          <w:szCs w:val="32"/>
        </w:rPr>
        <w:t>邮箱：</w:t>
      </w:r>
      <w:r>
        <w:rPr>
          <w:rFonts w:ascii="仿宋" w:hAnsi="仿宋" w:eastAsia="仿宋" w:cs="华文仿宋"/>
          <w:spacing w:val="5"/>
          <w:kern w:val="0"/>
          <w:sz w:val="32"/>
          <w:szCs w:val="32"/>
        </w:rPr>
        <w:t>qiucc</w:t>
      </w:r>
      <w:r>
        <w:rPr>
          <w:rFonts w:hint="eastAsia" w:ascii="仿宋" w:hAnsi="仿宋" w:eastAsia="仿宋" w:cs="华文仿宋"/>
          <w:spacing w:val="5"/>
          <w:kern w:val="0"/>
          <w:sz w:val="32"/>
          <w:szCs w:val="32"/>
        </w:rPr>
        <w:t>@</w:t>
      </w:r>
      <w:r>
        <w:rPr>
          <w:rFonts w:ascii="仿宋" w:hAnsi="仿宋" w:eastAsia="仿宋" w:cs="华文仿宋"/>
          <w:spacing w:val="5"/>
          <w:kern w:val="0"/>
          <w:sz w:val="32"/>
          <w:szCs w:val="32"/>
        </w:rPr>
        <w:t>mail.</w:t>
      </w:r>
      <w:r>
        <w:rPr>
          <w:rFonts w:hint="eastAsia" w:ascii="仿宋" w:hAnsi="仿宋" w:eastAsia="仿宋" w:cs="华文仿宋"/>
          <w:spacing w:val="5"/>
          <w:kern w:val="0"/>
          <w:sz w:val="32"/>
          <w:szCs w:val="32"/>
        </w:rPr>
        <w:t>nai.</w:t>
      </w:r>
      <w:r>
        <w:rPr>
          <w:rFonts w:ascii="仿宋" w:hAnsi="仿宋" w:eastAsia="仿宋" w:cs="华文仿宋"/>
          <w:spacing w:val="5"/>
          <w:kern w:val="0"/>
          <w:sz w:val="32"/>
          <w:szCs w:val="32"/>
        </w:rPr>
        <w:t>edu.cn</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Times New Roman"/>
    <w:panose1 w:val="00000000000000000000"/>
    <w:charset w:val="00"/>
    <w:family w:val="auto"/>
    <w:pitch w:val="default"/>
    <w:sig w:usb0="00000000" w:usb1="00000000" w:usb2="0000001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NWU3ZWNiMzgzNzAwZWVhYzBhOWY3ZTkwYzQyMjUifQ=="/>
  </w:docVars>
  <w:rsids>
    <w:rsidRoot w:val="1B927997"/>
    <w:rsid w:val="00060098"/>
    <w:rsid w:val="00093CFB"/>
    <w:rsid w:val="000A7EA1"/>
    <w:rsid w:val="000B0F58"/>
    <w:rsid w:val="000C7539"/>
    <w:rsid w:val="000D7944"/>
    <w:rsid w:val="0012146F"/>
    <w:rsid w:val="001457F1"/>
    <w:rsid w:val="00181B3D"/>
    <w:rsid w:val="001E04D7"/>
    <w:rsid w:val="002B77D4"/>
    <w:rsid w:val="002F6D8C"/>
    <w:rsid w:val="00364F0F"/>
    <w:rsid w:val="003A686E"/>
    <w:rsid w:val="003F5246"/>
    <w:rsid w:val="0040799D"/>
    <w:rsid w:val="00422265"/>
    <w:rsid w:val="00455E39"/>
    <w:rsid w:val="004C34B6"/>
    <w:rsid w:val="005F1FFB"/>
    <w:rsid w:val="00670543"/>
    <w:rsid w:val="00694325"/>
    <w:rsid w:val="00745072"/>
    <w:rsid w:val="007D73D4"/>
    <w:rsid w:val="00803DE5"/>
    <w:rsid w:val="0088010D"/>
    <w:rsid w:val="0093478C"/>
    <w:rsid w:val="009520CE"/>
    <w:rsid w:val="009C71E0"/>
    <w:rsid w:val="00A02F78"/>
    <w:rsid w:val="00A15FB9"/>
    <w:rsid w:val="00A31BB2"/>
    <w:rsid w:val="00A74C9A"/>
    <w:rsid w:val="00A95700"/>
    <w:rsid w:val="00AD3EBC"/>
    <w:rsid w:val="00B21E81"/>
    <w:rsid w:val="00BF5104"/>
    <w:rsid w:val="00E26172"/>
    <w:rsid w:val="00E40320"/>
    <w:rsid w:val="00E424E3"/>
    <w:rsid w:val="00ED116A"/>
    <w:rsid w:val="00F46B99"/>
    <w:rsid w:val="00F563F5"/>
    <w:rsid w:val="00F57F8F"/>
    <w:rsid w:val="00F64CCC"/>
    <w:rsid w:val="01590D50"/>
    <w:rsid w:val="03A4089B"/>
    <w:rsid w:val="082B21CD"/>
    <w:rsid w:val="0A745D33"/>
    <w:rsid w:val="0EE50085"/>
    <w:rsid w:val="14926D30"/>
    <w:rsid w:val="154A7127"/>
    <w:rsid w:val="159F6791"/>
    <w:rsid w:val="1B8C702D"/>
    <w:rsid w:val="1B927997"/>
    <w:rsid w:val="21752C6A"/>
    <w:rsid w:val="2D5E3FF4"/>
    <w:rsid w:val="2DEC28E0"/>
    <w:rsid w:val="34DC5032"/>
    <w:rsid w:val="36B12BB1"/>
    <w:rsid w:val="3F8A6E6E"/>
    <w:rsid w:val="41E73E41"/>
    <w:rsid w:val="43255E5C"/>
    <w:rsid w:val="439B60C9"/>
    <w:rsid w:val="4DFD03C3"/>
    <w:rsid w:val="521B5645"/>
    <w:rsid w:val="52D40D60"/>
    <w:rsid w:val="5364260C"/>
    <w:rsid w:val="559162EC"/>
    <w:rsid w:val="583801FC"/>
    <w:rsid w:val="62EF46EC"/>
    <w:rsid w:val="64AC4CC1"/>
    <w:rsid w:val="66B108E6"/>
    <w:rsid w:val="6A9E69FE"/>
    <w:rsid w:val="6EDA5BDB"/>
    <w:rsid w:val="709905BC"/>
    <w:rsid w:val="72F3061A"/>
    <w:rsid w:val="73904AAD"/>
    <w:rsid w:val="76442A34"/>
    <w:rsid w:val="76764E51"/>
    <w:rsid w:val="792A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qFormat/>
    <w:uiPriority w:val="9"/>
    <w:pPr>
      <w:keepNext/>
      <w:keepLines/>
      <w:spacing w:before="260" w:after="260" w:line="416" w:lineRule="auto"/>
      <w:outlineLvl w:val="2"/>
    </w:pPr>
    <w:rPr>
      <w:b/>
      <w:bCs/>
      <w:sz w:val="32"/>
      <w:szCs w:val="32"/>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16"/>
    <w:qFormat/>
    <w:uiPriority w:val="0"/>
    <w:pPr>
      <w:jc w:val="left"/>
    </w:p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rFonts w:cs="Times New Roman"/>
      <w:kern w:val="0"/>
      <w:sz w:val="24"/>
    </w:rPr>
  </w:style>
  <w:style w:type="paragraph" w:styleId="9">
    <w:name w:val="annotation subject"/>
    <w:basedOn w:val="5"/>
    <w:next w:val="5"/>
    <w:link w:val="17"/>
    <w:qFormat/>
    <w:uiPriority w:val="0"/>
    <w:rPr>
      <w:b/>
      <w:bCs/>
    </w:rPr>
  </w:style>
  <w:style w:type="character" w:styleId="12">
    <w:name w:val="Strong"/>
    <w:basedOn w:val="11"/>
    <w:qFormat/>
    <w:uiPriority w:val="22"/>
    <w:rPr>
      <w:b/>
    </w:rPr>
  </w:style>
  <w:style w:type="character" w:styleId="13">
    <w:name w:val="annotation reference"/>
    <w:basedOn w:val="11"/>
    <w:qFormat/>
    <w:uiPriority w:val="0"/>
    <w:rPr>
      <w:sz w:val="21"/>
      <w:szCs w:val="21"/>
    </w:rPr>
  </w:style>
  <w:style w:type="paragraph" w:customStyle="1" w:styleId="14">
    <w:name w:val="默认"/>
    <w:qFormat/>
    <w:uiPriority w:val="0"/>
    <w:pPr>
      <w:spacing w:before="160"/>
    </w:pPr>
    <w:rPr>
      <w:rFonts w:hint="eastAsia" w:ascii="Arial Unicode MS" w:hAnsi="Arial Unicode MS" w:eastAsia="Helvetica Neue" w:cs="Arial Unicode MS"/>
      <w:color w:val="000000"/>
      <w:sz w:val="24"/>
      <w:szCs w:val="24"/>
      <w:lang w:val="zh-CN" w:eastAsia="zh-CN" w:bidi="ar-SA"/>
    </w:rPr>
  </w:style>
  <w:style w:type="paragraph" w:customStyle="1" w:styleId="1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6">
    <w:name w:val="批注文字 字符"/>
    <w:basedOn w:val="11"/>
    <w:link w:val="5"/>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342</Words>
  <Characters>1955</Characters>
  <Lines>16</Lines>
  <Paragraphs>4</Paragraphs>
  <TotalTime>162</TotalTime>
  <ScaleCrop>false</ScaleCrop>
  <LinksUpToDate>false</LinksUpToDate>
  <CharactersWithSpaces>2293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2023-03-09T02:58:00Z</dcterms:created>
  <dc:creator>李青</dc:creator>
  <cp:lastModifiedBy>姜xiaomao</cp:lastModifiedBy>
  <cp:lastPrinted>2023-03-13T08:17:00Z</cp:lastPrinted>
  <dcterms:modified xsi:type="dcterms:W3CDTF">2023-04-20T07:01:56Z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2EA997AB793B425486E46A6000F35648</vt:lpwstr>
  </property>
</Properties>
</file>