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B514" w14:textId="77777777" w:rsidR="009353C4" w:rsidRDefault="00406475">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w:t>
      </w:r>
      <w:r>
        <w:rPr>
          <w:rFonts w:ascii="FangSong_GB2312" w:eastAsia="FangSong_GB2312" w:hAnsi="FangSong_GB2312" w:cs="FangSong_GB2312" w:hint="eastAsia"/>
          <w:b/>
          <w:bCs/>
          <w:sz w:val="36"/>
          <w:szCs w:val="36"/>
        </w:rPr>
        <w:t>现金流体系与司库管理建设实务</w:t>
      </w:r>
      <w:r>
        <w:rPr>
          <w:rFonts w:ascii="FangSong_GB2312" w:eastAsia="FangSong_GB2312" w:hAnsi="FangSong_GB2312" w:cs="FangSong_GB2312" w:hint="eastAsia"/>
          <w:b/>
          <w:bCs/>
          <w:sz w:val="36"/>
          <w:szCs w:val="36"/>
        </w:rPr>
        <w:t>”</w:t>
      </w:r>
      <w:r>
        <w:rPr>
          <w:rFonts w:ascii="FangSong_GB2312" w:eastAsia="FangSong_GB2312" w:hAnsi="FangSong_GB2312" w:cs="FangSong_GB2312" w:hint="eastAsia"/>
          <w:b/>
          <w:bCs/>
          <w:sz w:val="36"/>
          <w:szCs w:val="36"/>
        </w:rPr>
        <w:t>高级研修班</w:t>
      </w:r>
    </w:p>
    <w:p w14:paraId="0939867A" w14:textId="77777777" w:rsidR="009353C4" w:rsidRDefault="00406475">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招生简章</w:t>
      </w:r>
    </w:p>
    <w:p w14:paraId="7EE8B15C" w14:textId="77777777" w:rsidR="009353C4" w:rsidRDefault="0040647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3FE91BB8"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企业如果没有科学的现金流管理理念，而仅仅关注利润等权责发生制为基础的各类数据，企业在面临重大危机事件时将会束手无策甚至面临灭顶之灾。新冠疫情让各类企业管理者更加深刻地认识到“现金为王”如何决定企业生死。特别是中小企业，面临更为严重的现金管理困境。现金流管理是企业价值创造体系乃至运营管理的核心，是企业的造血机器及活力来源。因此，有效且合理的现金流分析，能够帮助企业掌舵者实时、直观了解与掌握企业生产经营及资产现状，提高企业整体资金管理能力，避免财务问题，有效控制财务和经营风险。</w:t>
      </w:r>
    </w:p>
    <w:p w14:paraId="6CD94113"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后疫情时代，我们将面临更多的不确</w:t>
      </w:r>
      <w:r>
        <w:rPr>
          <w:rFonts w:ascii="FangSong_GB2312" w:eastAsia="FangSong_GB2312" w:hAnsi="FangSong_GB2312" w:cs="FangSong_GB2312" w:hint="eastAsia"/>
          <w:kern w:val="2"/>
          <w:sz w:val="32"/>
          <w:szCs w:val="32"/>
        </w:rPr>
        <w:t>定性。不论企业处于哪个行业，处于什么样的发展阶段，都应该重视科学的现金流管理模式对企业生存发展的重大意义。鉴于此，北京国家会计学院从自身研究优势与培训特色出发，继续推出《现金流体系与司库管理建设实务》高级研修班，系统讲解后疫情时代企业现金管理的若干要点，帮助企业建立纾解因现金短缺管理问题造成的风险</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以期在不确定性的市场经济环境中给予企业关于现金流管理与短期融资方面的指引。</w:t>
      </w:r>
    </w:p>
    <w:p w14:paraId="65A270EF" w14:textId="77777777" w:rsidR="009353C4" w:rsidRDefault="0040647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二、培训收益</w:t>
      </w:r>
    </w:p>
    <w:p w14:paraId="23D3648E"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 xml:space="preserve">1. </w:t>
      </w:r>
      <w:r>
        <w:rPr>
          <w:rFonts w:ascii="FangSong_GB2312" w:eastAsia="FangSong_GB2312" w:hAnsi="FangSong_GB2312" w:cs="FangSong_GB2312" w:hint="eastAsia"/>
          <w:kern w:val="2"/>
          <w:sz w:val="32"/>
          <w:szCs w:val="32"/>
        </w:rPr>
        <w:t>帮助企业了解现金流管理的环境因素及应对策略；</w:t>
      </w:r>
    </w:p>
    <w:p w14:paraId="7FC56C5B"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2. </w:t>
      </w:r>
      <w:r>
        <w:rPr>
          <w:rFonts w:ascii="FangSong_GB2312" w:eastAsia="FangSong_GB2312" w:hAnsi="FangSong_GB2312" w:cs="FangSong_GB2312" w:hint="eastAsia"/>
          <w:kern w:val="2"/>
          <w:sz w:val="32"/>
          <w:szCs w:val="32"/>
        </w:rPr>
        <w:t>帮助学员掌握现金流管理模式的设计与具体应用；</w:t>
      </w:r>
    </w:p>
    <w:p w14:paraId="53DAD7EB"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3. </w:t>
      </w:r>
      <w:r>
        <w:rPr>
          <w:rFonts w:ascii="FangSong_GB2312" w:eastAsia="FangSong_GB2312" w:hAnsi="FangSong_GB2312" w:cs="FangSong_GB2312" w:hint="eastAsia"/>
          <w:kern w:val="2"/>
          <w:sz w:val="32"/>
          <w:szCs w:val="32"/>
        </w:rPr>
        <w:t>帮助学员掌握</w:t>
      </w:r>
      <w:r>
        <w:rPr>
          <w:rFonts w:ascii="FangSong_GB2312" w:eastAsia="FangSong_GB2312" w:hAnsi="FangSong_GB2312" w:cs="FangSong_GB2312" w:hint="eastAsia"/>
          <w:kern w:val="2"/>
          <w:sz w:val="32"/>
          <w:szCs w:val="32"/>
        </w:rPr>
        <w:t>供应链金融等融资有效实现形式；</w:t>
      </w:r>
    </w:p>
    <w:p w14:paraId="0D9A2BC4"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4. </w:t>
      </w:r>
      <w:r>
        <w:rPr>
          <w:rFonts w:ascii="FangSong_GB2312" w:eastAsia="FangSong_GB2312" w:hAnsi="FangSong_GB2312" w:cs="FangSong_GB2312" w:hint="eastAsia"/>
          <w:kern w:val="2"/>
          <w:sz w:val="32"/>
          <w:szCs w:val="32"/>
        </w:rPr>
        <w:t>帮助学员掌握司库等现金流集中管理的应用；</w:t>
      </w:r>
    </w:p>
    <w:p w14:paraId="6E8DA610"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5. </w:t>
      </w:r>
      <w:r>
        <w:rPr>
          <w:rFonts w:ascii="FangSong_GB2312" w:eastAsia="FangSong_GB2312" w:hAnsi="FangSong_GB2312" w:cs="FangSong_GB2312" w:hint="eastAsia"/>
          <w:kern w:val="2"/>
          <w:sz w:val="32"/>
          <w:szCs w:val="32"/>
        </w:rPr>
        <w:t>帮助学员掌握现金流的风险点和化解措施。</w:t>
      </w:r>
    </w:p>
    <w:p w14:paraId="4B28A5EE" w14:textId="77777777" w:rsidR="009353C4" w:rsidRDefault="0040647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71726783"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1. </w:t>
      </w:r>
      <w:r>
        <w:rPr>
          <w:rFonts w:ascii="FangSong_GB2312" w:eastAsia="FangSong_GB2312" w:hAnsi="FangSong_GB2312" w:cs="FangSong_GB2312" w:hint="eastAsia"/>
          <w:kern w:val="2"/>
          <w:sz w:val="32"/>
          <w:szCs w:val="32"/>
        </w:rPr>
        <w:t>企业财务总监、总会计师、投融资决策负责人等中高层管理人员；</w:t>
      </w:r>
    </w:p>
    <w:p w14:paraId="4CF9F471"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2. </w:t>
      </w:r>
      <w:r>
        <w:rPr>
          <w:rFonts w:ascii="FangSong_GB2312" w:eastAsia="FangSong_GB2312" w:hAnsi="FangSong_GB2312" w:cs="FangSong_GB2312" w:hint="eastAsia"/>
          <w:kern w:val="2"/>
          <w:sz w:val="32"/>
          <w:szCs w:val="32"/>
        </w:rPr>
        <w:t>企业财务经理、资金经理等从事资金管理工作的相关人员；</w:t>
      </w:r>
    </w:p>
    <w:p w14:paraId="2C23639A"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3. </w:t>
      </w:r>
      <w:r>
        <w:rPr>
          <w:rFonts w:ascii="FangSong_GB2312" w:eastAsia="FangSong_GB2312" w:hAnsi="FangSong_GB2312" w:cs="FangSong_GB2312" w:hint="eastAsia"/>
          <w:kern w:val="2"/>
          <w:sz w:val="32"/>
          <w:szCs w:val="32"/>
        </w:rPr>
        <w:t>金融、证券等机构从业人员；</w:t>
      </w:r>
    </w:p>
    <w:p w14:paraId="64B0C889"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4. </w:t>
      </w:r>
      <w:r>
        <w:rPr>
          <w:rFonts w:ascii="FangSong_GB2312" w:eastAsia="FangSong_GB2312" w:hAnsi="FangSong_GB2312" w:cs="FangSong_GB2312" w:hint="eastAsia"/>
          <w:kern w:val="2"/>
          <w:sz w:val="32"/>
          <w:szCs w:val="32"/>
        </w:rPr>
        <w:t>会计师事务所等中介机构从事审计与非审计业务的从业人员；</w:t>
      </w:r>
    </w:p>
    <w:p w14:paraId="6D0A157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5. </w:t>
      </w:r>
      <w:r>
        <w:rPr>
          <w:rFonts w:ascii="FangSong_GB2312" w:eastAsia="FangSong_GB2312" w:hAnsi="FangSong_GB2312" w:cs="FangSong_GB2312" w:hint="eastAsia"/>
          <w:kern w:val="2"/>
          <w:sz w:val="32"/>
          <w:szCs w:val="32"/>
        </w:rPr>
        <w:t>高校从事财务理论研究与实务教学的教师。</w:t>
      </w:r>
    </w:p>
    <w:p w14:paraId="36E5A2E9" w14:textId="77777777" w:rsidR="009353C4" w:rsidRDefault="0040647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p>
    <w:p w14:paraId="22A79F16"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（一）现金流管理的整体规划设计</w:t>
      </w:r>
    </w:p>
    <w:p w14:paraId="138ECBB0"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现金流管理与战略发展的协同</w:t>
      </w:r>
    </w:p>
    <w:p w14:paraId="6828D75B"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现金流预算的编制及实施</w:t>
      </w:r>
    </w:p>
    <w:p w14:paraId="01DAB5A6"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现金流管理的组织结构设计</w:t>
      </w:r>
    </w:p>
    <w:p w14:paraId="3E7750E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现金流量表的分析及应用</w:t>
      </w:r>
    </w:p>
    <w:p w14:paraId="0266D50F"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现金流的预测与缺口管理</w:t>
      </w:r>
    </w:p>
    <w:p w14:paraId="3E085A98"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现金流管理风险预警信息系统</w:t>
      </w:r>
    </w:p>
    <w:p w14:paraId="61885143"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7.</w:t>
      </w:r>
      <w:r>
        <w:rPr>
          <w:rFonts w:ascii="FangSong_GB2312" w:eastAsia="FangSong_GB2312" w:hAnsi="FangSong_GB2312" w:cs="FangSong_GB2312" w:hint="eastAsia"/>
          <w:kern w:val="2"/>
          <w:sz w:val="32"/>
          <w:szCs w:val="32"/>
        </w:rPr>
        <w:t>现金流量绩效考核</w:t>
      </w:r>
    </w:p>
    <w:p w14:paraId="45A2523A"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8.</w:t>
      </w:r>
      <w:r>
        <w:rPr>
          <w:rFonts w:ascii="FangSong_GB2312" w:eastAsia="FangSong_GB2312" w:hAnsi="FangSong_GB2312" w:cs="FangSong_GB2312" w:hint="eastAsia"/>
          <w:kern w:val="2"/>
          <w:sz w:val="32"/>
          <w:szCs w:val="32"/>
        </w:rPr>
        <w:t>现金流分析与报告系统</w:t>
      </w:r>
    </w:p>
    <w:p w14:paraId="7F39619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（二）华为财经现金流管理模式及其应用案例分析</w:t>
      </w:r>
    </w:p>
    <w:p w14:paraId="57610A76"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华为业务流程、商业模式创新与现金流管理创新</w:t>
      </w:r>
    </w:p>
    <w:p w14:paraId="40DB246A"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资金管理的组织：中央集权</w:t>
      </w:r>
    </w:p>
    <w:p w14:paraId="3210BE4A"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华为的全球性资金体系与风险管理</w:t>
      </w:r>
    </w:p>
    <w:p w14:paraId="4760F72C"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华为</w:t>
      </w:r>
      <w:r>
        <w:rPr>
          <w:rFonts w:ascii="FangSong_GB2312" w:eastAsia="FangSong_GB2312" w:hAnsi="FangSong_GB2312" w:cs="FangSong_GB2312" w:hint="eastAsia"/>
          <w:kern w:val="2"/>
          <w:sz w:val="32"/>
          <w:szCs w:val="32"/>
        </w:rPr>
        <w:t xml:space="preserve"> LTC </w:t>
      </w:r>
      <w:r>
        <w:rPr>
          <w:rFonts w:ascii="FangSong_GB2312" w:eastAsia="FangSong_GB2312" w:hAnsi="FangSong_GB2312" w:cs="FangSong_GB2312" w:hint="eastAsia"/>
          <w:kern w:val="2"/>
          <w:sz w:val="32"/>
          <w:szCs w:val="32"/>
        </w:rPr>
        <w:t>资产管理集成方案关键路标</w:t>
      </w:r>
    </w:p>
    <w:p w14:paraId="6DF7281A"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支持“铁三角”运作，联动三表的资金战略循环</w:t>
      </w:r>
    </w:p>
    <w:p w14:paraId="3DCA5479"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华为的</w:t>
      </w:r>
      <w:r>
        <w:rPr>
          <w:rFonts w:ascii="FangSong_GB2312" w:eastAsia="FangSong_GB2312" w:hAnsi="FangSong_GB2312" w:cs="FangSong_GB2312" w:hint="eastAsia"/>
          <w:kern w:val="2"/>
          <w:sz w:val="32"/>
          <w:szCs w:val="32"/>
        </w:rPr>
        <w:t xml:space="preserve">DSO </w:t>
      </w:r>
      <w:r>
        <w:rPr>
          <w:rFonts w:ascii="FangSong_GB2312" w:eastAsia="FangSong_GB2312" w:hAnsi="FangSong_GB2312" w:cs="FangSong_GB2312" w:hint="eastAsia"/>
          <w:kern w:val="2"/>
          <w:sz w:val="32"/>
          <w:szCs w:val="32"/>
        </w:rPr>
        <w:t>管理与</w:t>
      </w:r>
      <w:r>
        <w:rPr>
          <w:rFonts w:ascii="FangSong_GB2312" w:eastAsia="FangSong_GB2312" w:hAnsi="FangSong_GB2312" w:cs="FangSong_GB2312" w:hint="eastAsia"/>
          <w:kern w:val="2"/>
          <w:sz w:val="32"/>
          <w:szCs w:val="32"/>
        </w:rPr>
        <w:t xml:space="preserve">DPO </w:t>
      </w:r>
      <w:r>
        <w:rPr>
          <w:rFonts w:ascii="FangSong_GB2312" w:eastAsia="FangSong_GB2312" w:hAnsi="FangSong_GB2312" w:cs="FangSong_GB2312" w:hint="eastAsia"/>
          <w:kern w:val="2"/>
          <w:sz w:val="32"/>
          <w:szCs w:val="32"/>
        </w:rPr>
        <w:t>管理</w:t>
      </w:r>
    </w:p>
    <w:p w14:paraId="1617768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跨国公司前沿的资金运作模式及金融创新</w:t>
      </w:r>
    </w:p>
    <w:p w14:paraId="1D2A16D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（三）司库模式下的资金集中管理与财务资源配置</w:t>
      </w:r>
    </w:p>
    <w:p w14:paraId="72BA359A"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现金流管理的司库模式的内容</w:t>
      </w:r>
    </w:p>
    <w:p w14:paraId="6CA74170"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司库模式下的资金集中组织与业务流程</w:t>
      </w:r>
    </w:p>
    <w:p w14:paraId="6786667D"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司库模式下的收付渠道管理</w:t>
      </w:r>
    </w:p>
    <w:p w14:paraId="2A16AC8B"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司库模式下的银行账户管理</w:t>
      </w:r>
    </w:p>
    <w:p w14:paraId="42E60FE3"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司库模式下的资金收付管理</w:t>
      </w:r>
    </w:p>
    <w:p w14:paraId="0EFC449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第三方支付在司库管理中的应用</w:t>
      </w:r>
    </w:p>
    <w:p w14:paraId="7EDF44FD"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司库模式下的资金集中与财务信息化体系的协调</w:t>
      </w:r>
    </w:p>
    <w:p w14:paraId="5666A7B4"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（四）供应链金融在现金流管理中的应用</w:t>
      </w:r>
    </w:p>
    <w:p w14:paraId="3B3C7FBB"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供应链金融及其基本架构</w:t>
      </w:r>
    </w:p>
    <w:p w14:paraId="1AFCEC86"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预付款融资</w:t>
      </w:r>
    </w:p>
    <w:p w14:paraId="740A7E0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存货融资</w:t>
      </w:r>
    </w:p>
    <w:p w14:paraId="51910ECF"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4.</w:t>
      </w:r>
      <w:r>
        <w:rPr>
          <w:rFonts w:ascii="FangSong_GB2312" w:eastAsia="FangSong_GB2312" w:hAnsi="FangSong_GB2312" w:cs="FangSong_GB2312" w:hint="eastAsia"/>
          <w:kern w:val="2"/>
          <w:sz w:val="32"/>
          <w:szCs w:val="32"/>
        </w:rPr>
        <w:t>应收款融资</w:t>
      </w:r>
    </w:p>
    <w:p w14:paraId="44F1ED3F"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全程物流与现金流管理</w:t>
      </w:r>
    </w:p>
    <w:p w14:paraId="10275FC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供应链金融运行平台建设</w:t>
      </w:r>
    </w:p>
    <w:p w14:paraId="51914F18"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供应链金融风险管理</w:t>
      </w:r>
    </w:p>
    <w:p w14:paraId="4E943FB5"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8.</w:t>
      </w:r>
      <w:r>
        <w:rPr>
          <w:rFonts w:ascii="FangSong_GB2312" w:eastAsia="FangSong_GB2312" w:hAnsi="FangSong_GB2312" w:cs="FangSong_GB2312" w:hint="eastAsia"/>
          <w:kern w:val="2"/>
          <w:sz w:val="32"/>
          <w:szCs w:val="32"/>
        </w:rPr>
        <w:t>供应链金融与互联网信贷</w:t>
      </w:r>
    </w:p>
    <w:p w14:paraId="285CE37D"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（五）投融资业务与现金流管理</w:t>
      </w:r>
    </w:p>
    <w:p w14:paraId="0E8FF8FF"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金融市场的融资模式规范与创新</w:t>
      </w:r>
    </w:p>
    <w:p w14:paraId="44500629"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传统融资模式及应用</w:t>
      </w:r>
    </w:p>
    <w:p w14:paraId="4D091D39"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商业银行金融产品创新及现金流管理应用</w:t>
      </w:r>
    </w:p>
    <w:p w14:paraId="71B2F4BD"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项目融资与现金流管理</w:t>
      </w:r>
    </w:p>
    <w:p w14:paraId="7963D91D"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并购重组的融资决策</w:t>
      </w:r>
    </w:p>
    <w:p w14:paraId="068D2174"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信托融资</w:t>
      </w:r>
    </w:p>
    <w:p w14:paraId="6F49129D"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私募股权基金</w:t>
      </w:r>
    </w:p>
    <w:p w14:paraId="615C0912"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8.</w:t>
      </w:r>
      <w:r>
        <w:rPr>
          <w:rFonts w:ascii="FangSong_GB2312" w:eastAsia="FangSong_GB2312" w:hAnsi="FangSong_GB2312" w:cs="FangSong_GB2312" w:hint="eastAsia"/>
          <w:kern w:val="2"/>
          <w:sz w:val="32"/>
          <w:szCs w:val="32"/>
        </w:rPr>
        <w:t>永续债与永续中票</w:t>
      </w:r>
    </w:p>
    <w:p w14:paraId="22D4D115"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9.</w:t>
      </w:r>
      <w:r>
        <w:rPr>
          <w:rFonts w:ascii="FangSong_GB2312" w:eastAsia="FangSong_GB2312" w:hAnsi="FangSong_GB2312" w:cs="FangSong_GB2312" w:hint="eastAsia"/>
          <w:kern w:val="2"/>
          <w:sz w:val="32"/>
          <w:szCs w:val="32"/>
        </w:rPr>
        <w:t>资产证券化与</w:t>
      </w:r>
      <w:r>
        <w:rPr>
          <w:rFonts w:ascii="FangSong_GB2312" w:eastAsia="FangSong_GB2312" w:hAnsi="FangSong_GB2312" w:cs="FangSong_GB2312" w:hint="eastAsia"/>
          <w:kern w:val="2"/>
          <w:sz w:val="32"/>
          <w:szCs w:val="32"/>
        </w:rPr>
        <w:t>REITs</w:t>
      </w:r>
    </w:p>
    <w:p w14:paraId="5965C86D"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（六）世界一流企业现金流管理案例及集中管理系统演示</w:t>
      </w:r>
    </w:p>
    <w:p w14:paraId="30C6E779"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中石油司库管理体系建设案例</w:t>
      </w:r>
    </w:p>
    <w:p w14:paraId="59AAD9AF"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资金集中管理系统演示与操作</w:t>
      </w:r>
    </w:p>
    <w:p w14:paraId="0A6DE86B" w14:textId="77777777" w:rsidR="009353C4" w:rsidRDefault="0040647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3579FC2E"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为帮助企业财务人员更快地了解课程资讯，更有效地掌握培训内容，本研修班以面授课堂为主，同时将免费推送给</w:t>
      </w:r>
      <w:r>
        <w:rPr>
          <w:rFonts w:ascii="FangSong_GB2312" w:eastAsia="FangSong_GB2312" w:hAnsi="FangSong_GB2312" w:cs="FangSong_GB2312" w:hint="eastAsia"/>
          <w:kern w:val="2"/>
          <w:sz w:val="32"/>
          <w:szCs w:val="32"/>
        </w:rPr>
        <w:lastRenderedPageBreak/>
        <w:t>学员与本主题相关的精品录播课程，方便学员利用网络课堂提前预习、巩固相关专业知识，再结合面授课堂进一步强化、拓展。</w:t>
      </w:r>
    </w:p>
    <w:p w14:paraId="23CC4A1A" w14:textId="77777777" w:rsidR="009353C4" w:rsidRDefault="00406475">
      <w:pPr>
        <w:pStyle w:val="Heading3"/>
        <w:widowControl/>
        <w:spacing w:before="210" w:beforeAutospacing="0" w:after="210" w:afterAutospacing="0"/>
        <w:rPr>
          <w:rFonts w:ascii="FangSong_GB2312" w:eastAsia="FangSong_GB2312" w:hAnsi="FangSong_GB2312" w:cs="FangSong_GB2312" w:hint="default"/>
          <w:kern w:val="2"/>
          <w:sz w:val="32"/>
          <w:szCs w:val="32"/>
        </w:rPr>
      </w:pPr>
      <w:r>
        <w:rPr>
          <w:rFonts w:ascii="FangSong_GB2312" w:eastAsia="FangSong_GB2312" w:hAnsi="FangSong_GB2312" w:cs="FangSong_GB2312"/>
          <w:kern w:val="2"/>
          <w:sz w:val="32"/>
          <w:szCs w:val="32"/>
        </w:rPr>
        <w:t>六、师资力量</w:t>
      </w:r>
    </w:p>
    <w:p w14:paraId="6F4395AB"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本课程由北京国家会计学院精心组织的专门师资团队授课。授课老师均具有深厚的理论功底及丰富的实践经验，拟聘师资如下：</w:t>
      </w:r>
    </w:p>
    <w:p w14:paraId="0ED1B33D"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马老师：管理学博士，北京国家会计学院教授，国务院政府特殊津贴专家。主要致力于中国企业会计准则及会计制度变革的历史演进、企业会</w:t>
      </w:r>
      <w:r>
        <w:rPr>
          <w:rFonts w:ascii="FangSong_GB2312" w:eastAsia="FangSong_GB2312" w:hAnsi="FangSong_GB2312" w:cs="FangSong_GB2312" w:hint="eastAsia"/>
          <w:kern w:val="2"/>
          <w:sz w:val="32"/>
          <w:szCs w:val="32"/>
        </w:rPr>
        <w:t>计政策选择、上市公司会计信息失真治理机制、企业改制上市再融资及其相关的财务会计问题研究。语言幽默风趣，长期为大中型企事业总会计师素质提升，企业领导人及财务人员做培训，课程深受学员好评；</w:t>
      </w:r>
    </w:p>
    <w:p w14:paraId="1DD5F737"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王老师：北京国家会计学院副教授，硕士生导师。主要从事企业财务、会计问题的研究与管理咨询工作。主讲课程涵盖集团财务管控、内部控制、风险管理、非财务人员财务、预算管理、企业会计准则、管理会计等领域；</w:t>
      </w:r>
    </w:p>
    <w:p w14:paraId="3479BA78"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付老师：香港汉高资产管理董事，东北证券首席经济学家。毕业于英国雷丁大学</w:t>
      </w:r>
      <w:r>
        <w:rPr>
          <w:rFonts w:ascii="FangSong_GB2312" w:eastAsia="FangSong_GB2312" w:hAnsi="FangSong_GB2312" w:cs="FangSong_GB2312" w:hint="eastAsia"/>
          <w:kern w:val="2"/>
          <w:sz w:val="32"/>
          <w:szCs w:val="32"/>
        </w:rPr>
        <w:t>ISMA/ICMA</w:t>
      </w:r>
      <w:r>
        <w:rPr>
          <w:rFonts w:ascii="FangSong_GB2312" w:eastAsia="FangSong_GB2312" w:hAnsi="FangSong_GB2312" w:cs="FangSong_GB2312" w:hint="eastAsia"/>
          <w:kern w:val="2"/>
          <w:sz w:val="32"/>
          <w:szCs w:val="32"/>
        </w:rPr>
        <w:t>（国际证券市场研究会）学院，国际证券投资与</w:t>
      </w:r>
      <w:r>
        <w:rPr>
          <w:rFonts w:ascii="FangSong_GB2312" w:eastAsia="FangSong_GB2312" w:hAnsi="FangSong_GB2312" w:cs="FangSong_GB2312" w:hint="eastAsia"/>
          <w:kern w:val="2"/>
          <w:sz w:val="32"/>
          <w:szCs w:val="32"/>
        </w:rPr>
        <w:t>银行学专业。对资本市场之间的轮动及全球宏观经济的把握有着深刻的理解，曾对</w:t>
      </w:r>
      <w:r>
        <w:rPr>
          <w:rFonts w:ascii="FangSong_GB2312" w:eastAsia="FangSong_GB2312" w:hAnsi="FangSong_GB2312" w:cs="FangSong_GB2312" w:hint="eastAsia"/>
          <w:kern w:val="2"/>
          <w:sz w:val="32"/>
          <w:szCs w:val="32"/>
        </w:rPr>
        <w:t>08</w:t>
      </w:r>
      <w:r>
        <w:rPr>
          <w:rFonts w:ascii="FangSong_GB2312" w:eastAsia="FangSong_GB2312" w:hAnsi="FangSong_GB2312" w:cs="FangSong_GB2312" w:hint="eastAsia"/>
          <w:kern w:val="2"/>
          <w:sz w:val="32"/>
          <w:szCs w:val="32"/>
        </w:rPr>
        <w:t>年金</w:t>
      </w:r>
      <w:r>
        <w:rPr>
          <w:rFonts w:ascii="FangSong_GB2312" w:eastAsia="FangSong_GB2312" w:hAnsi="FangSong_GB2312" w:cs="FangSong_GB2312" w:hint="eastAsia"/>
          <w:kern w:val="2"/>
          <w:sz w:val="32"/>
          <w:szCs w:val="32"/>
        </w:rPr>
        <w:lastRenderedPageBreak/>
        <w:t>融危机做出了正确的判断，并参与了</w:t>
      </w:r>
      <w:r>
        <w:rPr>
          <w:rFonts w:ascii="FangSong_GB2312" w:eastAsia="FangSong_GB2312" w:hAnsi="FangSong_GB2312" w:cs="FangSong_GB2312" w:hint="eastAsia"/>
          <w:kern w:val="2"/>
          <w:sz w:val="32"/>
          <w:szCs w:val="32"/>
        </w:rPr>
        <w:t>2008</w:t>
      </w:r>
      <w:r>
        <w:rPr>
          <w:rFonts w:ascii="FangSong_GB2312" w:eastAsia="FangSong_GB2312" w:hAnsi="FangSong_GB2312" w:cs="FangSong_GB2312" w:hint="eastAsia"/>
          <w:kern w:val="2"/>
          <w:sz w:val="32"/>
          <w:szCs w:val="32"/>
        </w:rPr>
        <w:t>年全球著名基金对冲狙击英镑的全过程；</w:t>
      </w:r>
    </w:p>
    <w:p w14:paraId="3CF35DFE"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郜老师：博士，注册会计师，中国成本研究会理事，中央财经大学</w:t>
      </w:r>
      <w:r>
        <w:rPr>
          <w:rFonts w:ascii="FangSong_GB2312" w:eastAsia="FangSong_GB2312" w:hAnsi="FangSong_GB2312" w:cs="FangSong_GB2312" w:hint="eastAsia"/>
          <w:kern w:val="2"/>
          <w:sz w:val="32"/>
          <w:szCs w:val="32"/>
        </w:rPr>
        <w:t>MBA</w:t>
      </w:r>
      <w:r>
        <w:rPr>
          <w:rFonts w:ascii="FangSong_GB2312" w:eastAsia="FangSong_GB2312" w:hAnsi="FangSong_GB2312" w:cs="FangSong_GB2312" w:hint="eastAsia"/>
          <w:kern w:val="2"/>
          <w:sz w:val="32"/>
          <w:szCs w:val="32"/>
        </w:rPr>
        <w:t>中心客座教授，北京国家会计学院兼职教授。曾任大型上市公司企业总裁，投融资策划及企业资本运营实战经验丰富，师承会计名家；</w:t>
      </w:r>
    </w:p>
    <w:p w14:paraId="5F69AF4A"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以及北京国家会计学院教授、实务界资深专家、政策制定者等。具体师资以实际课表为准。</w:t>
      </w:r>
    </w:p>
    <w:p w14:paraId="747697CD" w14:textId="77777777" w:rsidR="009353C4" w:rsidRDefault="00406475">
      <w:pPr>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9C0CEA">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8"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586"/>
        <w:gridCol w:w="1668"/>
        <w:gridCol w:w="1668"/>
        <w:gridCol w:w="1668"/>
        <w:gridCol w:w="1729"/>
      </w:tblGrid>
      <w:tr w:rsidR="009353C4" w14:paraId="18840D72"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04AA7F39"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期数</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1BDF68FA"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报到时间</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64CB0C4B"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开始时间</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5CA39267"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结束时间</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0A346E9C"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培训地点</w:t>
            </w:r>
          </w:p>
        </w:tc>
      </w:tr>
      <w:tr w:rsidR="009353C4" w14:paraId="0E45ECC2"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1D049FCA"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5572C5E6"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2F1EE744"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4F9AE5F5"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3</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0474C212"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9353C4" w14:paraId="2484C2E5"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2B987524"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12D2B56E"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18</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3886FE26"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19</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2DD0D2B2"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21</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3F2FB6CE"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9353C4" w14:paraId="21B64650"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14359EAA"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6814A092"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24</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7A60DF72"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25</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71691385"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27</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671EBFF0"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9353C4" w14:paraId="6C4DF2C4"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68B422A8"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61A27EB1"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31E32937"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72B0DF72"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067908A9"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r w:rsidR="009353C4" w14:paraId="6CD842CA"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05672BF6"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11</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620E3F6D"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57A4283D" w14:textId="77777777" w:rsidR="009353C4" w:rsidRDefault="00406475">
            <w:pPr>
              <w:widowControl/>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4FA89EBA"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6</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12DE14FF"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威海</w:t>
            </w:r>
          </w:p>
        </w:tc>
      </w:tr>
      <w:tr w:rsidR="009353C4" w14:paraId="4318F272"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3F873C83"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4229549E"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46A001DF"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0374A500"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2CEAB470"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杭州</w:t>
            </w:r>
          </w:p>
        </w:tc>
      </w:tr>
      <w:tr w:rsidR="009353C4" w14:paraId="2CFF11E8"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2F19DD60"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14</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0E4E7D2D"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7424DDE5"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18</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45617D06"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20</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48061922"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9353C4" w14:paraId="4F9EE21E"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505EC1FA"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15</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5E4485B6"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05CA748F" w14:textId="77777777" w:rsidR="009353C4" w:rsidRDefault="00406475">
            <w:pPr>
              <w:widowControl/>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8</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42E63278"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9</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142AF8FE"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武汉</w:t>
            </w:r>
          </w:p>
        </w:tc>
      </w:tr>
      <w:tr w:rsidR="009353C4" w14:paraId="7BCCB503"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1D557B6E"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736CFF54"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378C2796"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13</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16D778E4"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15</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63457CAC"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长沙</w:t>
            </w:r>
          </w:p>
        </w:tc>
      </w:tr>
      <w:tr w:rsidR="009353C4" w14:paraId="0FE75D36"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77492ED2"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4D961C82"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16</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12D08890"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17</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6513ADEA"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10</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19</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3F03CD4A"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r w:rsidR="009353C4" w14:paraId="4DE65184" w14:textId="77777777">
        <w:trPr>
          <w:trHeight w:val="270"/>
        </w:trPr>
        <w:tc>
          <w:tcPr>
            <w:tcW w:w="953" w:type="pct"/>
            <w:tcBorders>
              <w:top w:val="outset" w:sz="6" w:space="0" w:color="auto"/>
              <w:left w:val="outset" w:sz="6" w:space="0" w:color="auto"/>
              <w:bottom w:val="outset" w:sz="6" w:space="0" w:color="auto"/>
              <w:right w:val="outset" w:sz="6" w:space="0" w:color="auto"/>
            </w:tcBorders>
            <w:shd w:val="clear" w:color="auto" w:fill="auto"/>
            <w:vAlign w:val="center"/>
          </w:tcPr>
          <w:p w14:paraId="39EFA57A"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总第</w:t>
            </w:r>
            <w:r>
              <w:rPr>
                <w:rFonts w:ascii="仿宋" w:eastAsia="仿宋" w:hAnsi="仿宋" w:cs="仿宋" w:hint="eastAsia"/>
                <w:kern w:val="0"/>
                <w:sz w:val="28"/>
                <w:szCs w:val="28"/>
                <w:lang w:bidi="ar"/>
              </w:rPr>
              <w:t>18</w:t>
            </w:r>
            <w:r>
              <w:rPr>
                <w:rFonts w:ascii="仿宋" w:eastAsia="仿宋" w:hAnsi="仿宋" w:cs="仿宋" w:hint="eastAsia"/>
                <w:kern w:val="0"/>
                <w:sz w:val="28"/>
                <w:szCs w:val="28"/>
                <w:lang w:bidi="ar"/>
              </w:rPr>
              <w:t>期</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39AC1063"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4</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18FD825B"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5</w:t>
            </w:r>
            <w:r>
              <w:rPr>
                <w:rFonts w:ascii="仿宋" w:eastAsia="仿宋" w:hAnsi="仿宋" w:cs="仿宋" w:hint="eastAsia"/>
                <w:kern w:val="0"/>
                <w:sz w:val="28"/>
                <w:szCs w:val="28"/>
                <w:lang w:bidi="ar"/>
              </w:rPr>
              <w:t>日</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14:paraId="507E8F1C"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12</w:t>
            </w:r>
            <w:r>
              <w:rPr>
                <w:rFonts w:ascii="仿宋" w:eastAsia="仿宋" w:hAnsi="仿宋" w:cs="仿宋" w:hint="eastAsia"/>
                <w:kern w:val="0"/>
                <w:sz w:val="28"/>
                <w:szCs w:val="28"/>
                <w:lang w:bidi="ar"/>
              </w:rPr>
              <w:t>月</w:t>
            </w:r>
            <w:r>
              <w:rPr>
                <w:rFonts w:ascii="仿宋" w:eastAsia="仿宋" w:hAnsi="仿宋" w:cs="仿宋" w:hint="eastAsia"/>
                <w:kern w:val="0"/>
                <w:sz w:val="28"/>
                <w:szCs w:val="28"/>
                <w:lang w:bidi="ar"/>
              </w:rPr>
              <w:t>7</w:t>
            </w:r>
            <w:r>
              <w:rPr>
                <w:rFonts w:ascii="仿宋" w:eastAsia="仿宋" w:hAnsi="仿宋" w:cs="仿宋" w:hint="eastAsia"/>
                <w:kern w:val="0"/>
                <w:sz w:val="28"/>
                <w:szCs w:val="28"/>
                <w:lang w:bidi="ar"/>
              </w:rPr>
              <w:t>日</w:t>
            </w:r>
          </w:p>
        </w:tc>
        <w:tc>
          <w:tcPr>
            <w:tcW w:w="1038" w:type="pct"/>
            <w:tcBorders>
              <w:top w:val="outset" w:sz="6" w:space="0" w:color="auto"/>
              <w:left w:val="outset" w:sz="6" w:space="0" w:color="auto"/>
              <w:bottom w:val="outset" w:sz="6" w:space="0" w:color="auto"/>
              <w:right w:val="outset" w:sz="6" w:space="0" w:color="auto"/>
            </w:tcBorders>
            <w:shd w:val="clear" w:color="auto" w:fill="auto"/>
            <w:vAlign w:val="center"/>
          </w:tcPr>
          <w:p w14:paraId="22450BE7" w14:textId="77777777" w:rsidR="009353C4" w:rsidRDefault="00406475">
            <w:pPr>
              <w:widowControl/>
              <w:jc w:val="center"/>
              <w:rPr>
                <w:rFonts w:ascii="仿宋" w:eastAsia="仿宋" w:hAnsi="仿宋" w:cs="仿宋"/>
                <w:sz w:val="28"/>
                <w:szCs w:val="28"/>
              </w:rPr>
            </w:pPr>
            <w:r>
              <w:rPr>
                <w:rFonts w:ascii="仿宋" w:eastAsia="仿宋" w:hAnsi="仿宋" w:cs="仿宋" w:hint="eastAsia"/>
                <w:kern w:val="0"/>
                <w:sz w:val="28"/>
                <w:szCs w:val="28"/>
                <w:lang w:bidi="ar"/>
              </w:rPr>
              <w:t>北京</w:t>
            </w:r>
          </w:p>
        </w:tc>
      </w:tr>
    </w:tbl>
    <w:p w14:paraId="17D2226D" w14:textId="77777777" w:rsidR="009353C4" w:rsidRDefault="00406475">
      <w:pPr>
        <w:pStyle w:val="NormalWeb"/>
        <w:widowControl/>
        <w:spacing w:beforeAutospacing="0" w:afterAutospacing="0" w:line="360" w:lineRule="atLeast"/>
        <w:rPr>
          <w:rFonts w:ascii="FangSong_GB2312" w:eastAsia="FangSong_GB2312" w:hAnsi="FangSong_GB2312" w:cs="FangSong_GB2312"/>
          <w:kern w:val="2"/>
          <w:sz w:val="28"/>
          <w:szCs w:val="28"/>
        </w:rPr>
      </w:pPr>
      <w:r>
        <w:rPr>
          <w:rFonts w:ascii="FangSong_GB2312" w:eastAsia="FangSong_GB2312" w:hAnsi="FangSong_GB2312" w:cs="FangSong_GB2312" w:hint="eastAsia"/>
          <w:kern w:val="2"/>
          <w:sz w:val="28"/>
          <w:szCs w:val="28"/>
        </w:rPr>
        <w:t>提示：结束时间以开课通知或课程安排表为准。</w:t>
      </w:r>
    </w:p>
    <w:p w14:paraId="737F7188" w14:textId="77777777" w:rsidR="009353C4" w:rsidRPr="009C0CEA" w:rsidRDefault="00406475">
      <w:pPr>
        <w:rPr>
          <w:rFonts w:ascii="FangSong_GB2312" w:eastAsia="FangSong_GB2312" w:hAnsi="FangSong_GB2312" w:cs="FangSong_GB2312"/>
          <w:b/>
          <w:bCs/>
          <w:sz w:val="32"/>
          <w:szCs w:val="32"/>
        </w:rPr>
      </w:pPr>
      <w:r w:rsidRPr="009C0CEA">
        <w:rPr>
          <w:rFonts w:ascii="FangSong_GB2312" w:eastAsia="FangSong_GB2312" w:hAnsi="FangSong_GB2312" w:cs="FangSong_GB2312" w:hint="eastAsia"/>
          <w:b/>
          <w:bCs/>
          <w:sz w:val="32"/>
          <w:szCs w:val="32"/>
        </w:rPr>
        <w:lastRenderedPageBreak/>
        <w:t>八、结业及考核</w:t>
      </w:r>
    </w:p>
    <w:p w14:paraId="7B33689C" w14:textId="77777777" w:rsidR="009353C4" w:rsidRDefault="00406475">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完成全部课程学习后，获得由北京国家会计学院颁发的电子版结业证书。</w:t>
      </w:r>
    </w:p>
    <w:p w14:paraId="7E4132C3" w14:textId="77777777" w:rsidR="009353C4" w:rsidRDefault="00406475">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26455A0D"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Pr>
          <w:rFonts w:ascii="STFangsong" w:eastAsia="STFangsong" w:hAnsi="STFangsong" w:cs="STFangsong"/>
          <w:sz w:val="32"/>
          <w:szCs w:val="32"/>
        </w:rPr>
        <w:t>1</w:t>
      </w:r>
      <w:r w:rsidRPr="00A87419">
        <w:rPr>
          <w:rFonts w:ascii="FangSong_GB2312" w:eastAsia="FangSong_GB2312" w:hAnsi="FangSong_GB2312" w:cs="FangSong_GB2312"/>
          <w:kern w:val="2"/>
          <w:sz w:val="32"/>
          <w:szCs w:val="32"/>
        </w:rPr>
        <w:t>.</w:t>
      </w:r>
      <w:r w:rsidRPr="00A87419">
        <w:rPr>
          <w:rFonts w:ascii="FangSong_GB2312" w:eastAsia="FangSong_GB2312" w:hAnsi="FangSong_GB2312" w:cs="FangSong_GB2312"/>
          <w:kern w:val="2"/>
          <w:sz w:val="32"/>
          <w:szCs w:val="32"/>
        </w:rPr>
        <w:t>收费标准</w:t>
      </w:r>
    </w:p>
    <w:p w14:paraId="4D9C7E43"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hint="eastAsia"/>
          <w:kern w:val="2"/>
          <w:sz w:val="32"/>
          <w:szCs w:val="32"/>
        </w:rPr>
        <w:t>培训费：</w:t>
      </w:r>
      <w:r w:rsidRPr="00A87419">
        <w:rPr>
          <w:rFonts w:ascii="FangSong_GB2312" w:eastAsia="FangSong_GB2312" w:hAnsi="FangSong_GB2312" w:cs="FangSong_GB2312"/>
          <w:kern w:val="2"/>
          <w:sz w:val="32"/>
          <w:szCs w:val="32"/>
        </w:rPr>
        <w:t>人民币</w:t>
      </w:r>
      <w:r w:rsidRPr="00A87419">
        <w:rPr>
          <w:rFonts w:ascii="FangSong_GB2312" w:eastAsia="FangSong_GB2312" w:hAnsi="FangSong_GB2312" w:cs="FangSong_GB2312" w:hint="eastAsia"/>
          <w:kern w:val="2"/>
          <w:sz w:val="32"/>
          <w:szCs w:val="32"/>
        </w:rPr>
        <w:t>58</w:t>
      </w:r>
      <w:r w:rsidRPr="00A87419">
        <w:rPr>
          <w:rFonts w:ascii="FangSong_GB2312" w:eastAsia="FangSong_GB2312" w:hAnsi="FangSong_GB2312" w:cs="FangSong_GB2312" w:hint="eastAsia"/>
          <w:kern w:val="2"/>
          <w:sz w:val="32"/>
          <w:szCs w:val="32"/>
        </w:rPr>
        <w:t>00</w:t>
      </w:r>
      <w:r w:rsidRPr="00A87419">
        <w:rPr>
          <w:rFonts w:ascii="FangSong_GB2312" w:eastAsia="FangSong_GB2312" w:hAnsi="FangSong_GB2312" w:cs="FangSong_GB2312" w:hint="eastAsia"/>
          <w:kern w:val="2"/>
          <w:sz w:val="32"/>
          <w:szCs w:val="32"/>
        </w:rPr>
        <w:t>元</w:t>
      </w:r>
      <w:r w:rsidRPr="00A87419">
        <w:rPr>
          <w:rFonts w:ascii="FangSong_GB2312" w:eastAsia="FangSong_GB2312" w:hAnsi="FangSong_GB2312" w:cs="FangSong_GB2312" w:hint="eastAsia"/>
          <w:kern w:val="2"/>
          <w:sz w:val="32"/>
          <w:szCs w:val="32"/>
        </w:rPr>
        <w:t>/</w:t>
      </w:r>
      <w:r w:rsidRPr="00A87419">
        <w:rPr>
          <w:rFonts w:ascii="FangSong_GB2312" w:eastAsia="FangSong_GB2312" w:hAnsi="FangSong_GB2312" w:cs="FangSong_GB2312" w:hint="eastAsia"/>
          <w:kern w:val="2"/>
          <w:sz w:val="32"/>
          <w:szCs w:val="32"/>
        </w:rPr>
        <w:t>人</w:t>
      </w:r>
      <w:r w:rsidRPr="00A87419">
        <w:rPr>
          <w:rFonts w:ascii="FangSong_GB2312" w:eastAsia="FangSong_GB2312" w:hAnsi="FangSong_GB2312" w:cs="FangSong_GB2312"/>
          <w:kern w:val="2"/>
          <w:sz w:val="32"/>
          <w:szCs w:val="32"/>
        </w:rPr>
        <w:t>（不含食宿）</w:t>
      </w:r>
      <w:r w:rsidRPr="00A87419">
        <w:rPr>
          <w:rFonts w:ascii="FangSong_GB2312" w:eastAsia="FangSong_GB2312" w:hAnsi="FangSong_GB2312" w:cs="FangSong_GB2312" w:hint="eastAsia"/>
          <w:kern w:val="2"/>
          <w:sz w:val="32"/>
          <w:szCs w:val="32"/>
        </w:rPr>
        <w:t>。</w:t>
      </w:r>
    </w:p>
    <w:p w14:paraId="07A4AC81"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kern w:val="2"/>
          <w:sz w:val="32"/>
          <w:szCs w:val="32"/>
        </w:rPr>
        <w:t>食宿费：住宿房型、食宿标准以及支付方式详见开课通知。</w:t>
      </w:r>
    </w:p>
    <w:p w14:paraId="537A945F"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kern w:val="2"/>
          <w:sz w:val="32"/>
          <w:szCs w:val="32"/>
        </w:rPr>
        <w:t>2.</w:t>
      </w:r>
      <w:r w:rsidRPr="00A87419">
        <w:rPr>
          <w:rFonts w:ascii="FangSong_GB2312" w:eastAsia="FangSong_GB2312" w:hAnsi="FangSong_GB2312" w:cs="FangSong_GB2312"/>
          <w:kern w:val="2"/>
          <w:sz w:val="32"/>
          <w:szCs w:val="32"/>
        </w:rPr>
        <w:t>缴费方式</w:t>
      </w:r>
    </w:p>
    <w:p w14:paraId="209AF39B"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kern w:val="2"/>
          <w:sz w:val="32"/>
          <w:szCs w:val="32"/>
        </w:rPr>
        <w:t>学员报到时可现场刷储蓄卡、信用卡或者通过微信扫码、银行汇款等方式支付培训费。扫码支付可立即开具电子发票。</w:t>
      </w:r>
    </w:p>
    <w:p w14:paraId="738034C8"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kern w:val="2"/>
          <w:sz w:val="32"/>
          <w:szCs w:val="32"/>
        </w:rPr>
        <w:t>汇款信息如下：</w:t>
      </w:r>
    </w:p>
    <w:p w14:paraId="1875D4B2"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kern w:val="2"/>
          <w:sz w:val="32"/>
          <w:szCs w:val="32"/>
        </w:rPr>
        <w:t>单位名称：北京国家会计学院</w:t>
      </w:r>
    </w:p>
    <w:p w14:paraId="7B6D63D6"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kern w:val="2"/>
          <w:sz w:val="32"/>
          <w:szCs w:val="32"/>
        </w:rPr>
        <w:t>汇款账号：</w:t>
      </w:r>
      <w:r w:rsidRPr="00A87419">
        <w:rPr>
          <w:rFonts w:ascii="FangSong_GB2312" w:eastAsia="FangSong_GB2312" w:hAnsi="FangSong_GB2312" w:cs="FangSong_GB2312"/>
          <w:kern w:val="2"/>
          <w:sz w:val="32"/>
          <w:szCs w:val="32"/>
        </w:rPr>
        <w:t>1100 1020 1000 5603 0985</w:t>
      </w:r>
    </w:p>
    <w:p w14:paraId="2E9C0B45"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kern w:val="2"/>
          <w:sz w:val="32"/>
          <w:szCs w:val="32"/>
        </w:rPr>
        <w:t>开户行：中国建设银行北京天竺支行（</w:t>
      </w:r>
      <w:r w:rsidRPr="00A87419">
        <w:rPr>
          <w:rFonts w:ascii="FangSong_GB2312" w:eastAsia="FangSong_GB2312" w:hAnsi="FangSong_GB2312" w:cs="FangSong_GB2312"/>
          <w:kern w:val="2"/>
          <w:sz w:val="32"/>
          <w:szCs w:val="32"/>
        </w:rPr>
        <w:t>201</w:t>
      </w:r>
      <w:r w:rsidRPr="00A87419">
        <w:rPr>
          <w:rFonts w:ascii="FangSong_GB2312" w:eastAsia="FangSong_GB2312" w:hAnsi="FangSong_GB2312" w:cs="FangSong_GB2312"/>
          <w:kern w:val="2"/>
          <w:sz w:val="32"/>
          <w:szCs w:val="32"/>
        </w:rPr>
        <w:t>）</w:t>
      </w:r>
    </w:p>
    <w:p w14:paraId="336919BA" w14:textId="77777777" w:rsidR="009353C4" w:rsidRPr="00A87419" w:rsidRDefault="00406475" w:rsidP="00A87419">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A87419">
        <w:rPr>
          <w:rFonts w:ascii="FangSong_GB2312" w:eastAsia="FangSong_GB2312" w:hAnsi="FangSong_GB2312" w:cs="FangSong_GB2312"/>
          <w:b/>
          <w:bCs/>
          <w:kern w:val="2"/>
          <w:sz w:val="32"/>
          <w:szCs w:val="32"/>
        </w:rPr>
        <w:t>特别提示</w:t>
      </w:r>
      <w:r w:rsidRPr="00A87419">
        <w:rPr>
          <w:rFonts w:ascii="FangSong_GB2312" w:eastAsia="FangSong_GB2312" w:hAnsi="FangSong_GB2312" w:cs="FangSong_GB2312"/>
          <w:kern w:val="2"/>
          <w:sz w:val="32"/>
          <w:szCs w:val="32"/>
        </w:rPr>
        <w:t>：</w:t>
      </w:r>
      <w:r w:rsidRPr="00A87419">
        <w:rPr>
          <w:rFonts w:ascii="FangSong_GB2312" w:eastAsia="FangSong_GB2312" w:hAnsi="FangSong_GB2312" w:cs="FangSong_GB2312"/>
          <w:kern w:val="2"/>
          <w:sz w:val="32"/>
          <w:szCs w:val="32"/>
        </w:rPr>
        <w:t>培训班如确定开班，学院将在开班前一周给学员发送《开课通知》。</w:t>
      </w:r>
      <w:r w:rsidRPr="00A87419">
        <w:rPr>
          <w:rFonts w:ascii="FangSong_GB2312" w:eastAsia="FangSong_GB2312" w:hAnsi="FangSong_GB2312" w:cs="FangSong_GB2312"/>
          <w:kern w:val="2"/>
          <w:sz w:val="32"/>
          <w:szCs w:val="32"/>
        </w:rPr>
        <w:t>如因报名人数</w:t>
      </w:r>
      <w:r w:rsidRPr="00A87419">
        <w:rPr>
          <w:rFonts w:ascii="FangSong_GB2312" w:eastAsia="FangSong_GB2312" w:hAnsi="FangSong_GB2312" w:cs="FangSong_GB2312"/>
          <w:kern w:val="2"/>
          <w:sz w:val="32"/>
          <w:szCs w:val="32"/>
        </w:rPr>
        <w:t>低于</w:t>
      </w:r>
      <w:r w:rsidRPr="00A87419">
        <w:rPr>
          <w:rFonts w:ascii="FangSong_GB2312" w:eastAsia="FangSong_GB2312" w:hAnsi="FangSong_GB2312" w:cs="FangSong_GB2312"/>
          <w:kern w:val="2"/>
          <w:sz w:val="32"/>
          <w:szCs w:val="32"/>
        </w:rPr>
        <w:t>开班人数要求，</w:t>
      </w:r>
      <w:r w:rsidRPr="00A87419">
        <w:rPr>
          <w:rFonts w:ascii="FangSong_GB2312" w:eastAsia="FangSong_GB2312" w:hAnsi="FangSong_GB2312" w:cs="FangSong_GB2312"/>
          <w:kern w:val="2"/>
          <w:sz w:val="32"/>
          <w:szCs w:val="32"/>
        </w:rPr>
        <w:t>学院</w:t>
      </w:r>
      <w:r w:rsidRPr="00A87419">
        <w:rPr>
          <w:rFonts w:ascii="FangSong_GB2312" w:eastAsia="FangSong_GB2312" w:hAnsi="FangSong_GB2312" w:cs="FangSong_GB2312"/>
          <w:kern w:val="2"/>
          <w:sz w:val="32"/>
          <w:szCs w:val="32"/>
        </w:rPr>
        <w:t>有权取消该班</w:t>
      </w:r>
      <w:r w:rsidRPr="00A87419">
        <w:rPr>
          <w:rFonts w:ascii="FangSong_GB2312" w:eastAsia="FangSong_GB2312" w:hAnsi="FangSong_GB2312" w:cs="FangSong_GB2312"/>
          <w:kern w:val="2"/>
          <w:sz w:val="32"/>
          <w:szCs w:val="32"/>
        </w:rPr>
        <w:t>，</w:t>
      </w:r>
      <w:r w:rsidRPr="00A87419">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w:t>
      </w:r>
      <w:r w:rsidRPr="00A87419">
        <w:rPr>
          <w:rFonts w:ascii="FangSong_GB2312" w:eastAsia="FangSong_GB2312" w:hAnsi="FangSong_GB2312" w:cs="FangSong_GB2312"/>
          <w:kern w:val="2"/>
          <w:sz w:val="32"/>
          <w:szCs w:val="32"/>
        </w:rPr>
        <w:t>等，</w:t>
      </w:r>
      <w:r w:rsidRPr="00A87419">
        <w:rPr>
          <w:rFonts w:ascii="FangSong_GB2312" w:eastAsia="FangSong_GB2312" w:hAnsi="FangSong_GB2312" w:cs="FangSong_GB2312"/>
          <w:kern w:val="2"/>
          <w:sz w:val="32"/>
          <w:szCs w:val="32"/>
        </w:rPr>
        <w:t>学院</w:t>
      </w:r>
      <w:r w:rsidRPr="00A87419">
        <w:rPr>
          <w:rFonts w:ascii="FangSong_GB2312" w:eastAsia="FangSong_GB2312" w:hAnsi="FangSong_GB2312" w:cs="FangSong_GB2312"/>
          <w:kern w:val="2"/>
          <w:sz w:val="32"/>
          <w:szCs w:val="32"/>
        </w:rPr>
        <w:t>均不承担法律责任。</w:t>
      </w:r>
    </w:p>
    <w:p w14:paraId="620CCF3B" w14:textId="77777777" w:rsidR="009353C4" w:rsidRPr="009C0CEA" w:rsidRDefault="00406475" w:rsidP="009C0CEA">
      <w:pPr>
        <w:spacing w:line="360" w:lineRule="auto"/>
        <w:rPr>
          <w:rFonts w:ascii="FangSong_GB2312" w:eastAsia="FangSong_GB2312" w:hAnsi="FangSong_GB2312" w:cs="FangSong_GB2312"/>
          <w:b/>
          <w:bCs/>
          <w:sz w:val="32"/>
          <w:szCs w:val="32"/>
        </w:rPr>
      </w:pPr>
      <w:r w:rsidRPr="009C0CEA">
        <w:rPr>
          <w:rFonts w:ascii="FangSong_GB2312" w:eastAsia="FangSong_GB2312" w:hAnsi="FangSong_GB2312" w:cs="FangSong_GB2312" w:hint="eastAsia"/>
          <w:b/>
          <w:bCs/>
          <w:sz w:val="32"/>
          <w:szCs w:val="32"/>
        </w:rPr>
        <w:lastRenderedPageBreak/>
        <w:t>十</w:t>
      </w:r>
      <w:r w:rsidRPr="009C0CEA">
        <w:rPr>
          <w:rFonts w:ascii="FangSong_GB2312" w:eastAsia="FangSong_GB2312" w:hAnsi="FangSong_GB2312" w:cs="FangSong_GB2312" w:hint="eastAsia"/>
          <w:b/>
          <w:bCs/>
          <w:sz w:val="32"/>
          <w:szCs w:val="32"/>
        </w:rPr>
        <w:t>、联系我们</w:t>
      </w:r>
    </w:p>
    <w:p w14:paraId="20770265" w14:textId="77777777" w:rsidR="009353C4" w:rsidRPr="00802F50" w:rsidRDefault="00406475" w:rsidP="00802F50">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02F50">
        <w:rPr>
          <w:rFonts w:ascii="FangSong_GB2312" w:eastAsia="FangSong_GB2312" w:hAnsi="FangSong_GB2312" w:cs="FangSong_GB2312" w:hint="eastAsia"/>
          <w:kern w:val="2"/>
          <w:sz w:val="32"/>
          <w:szCs w:val="32"/>
        </w:rPr>
        <w:t>联系人：</w:t>
      </w:r>
      <w:r w:rsidRPr="00802F50">
        <w:rPr>
          <w:rFonts w:ascii="FangSong_GB2312" w:eastAsia="FangSong_GB2312" w:hAnsi="FangSong_GB2312" w:cs="FangSong_GB2312" w:hint="eastAsia"/>
          <w:kern w:val="2"/>
          <w:sz w:val="32"/>
          <w:szCs w:val="32"/>
        </w:rPr>
        <w:t>邱</w:t>
      </w:r>
      <w:r w:rsidRPr="00802F50">
        <w:rPr>
          <w:rFonts w:ascii="FangSong_GB2312" w:eastAsia="FangSong_GB2312" w:hAnsi="FangSong_GB2312" w:cs="FangSong_GB2312" w:hint="eastAsia"/>
          <w:kern w:val="2"/>
          <w:sz w:val="32"/>
          <w:szCs w:val="32"/>
        </w:rPr>
        <w:t>老师</w:t>
      </w:r>
    </w:p>
    <w:p w14:paraId="10A3AF1E" w14:textId="77777777" w:rsidR="009353C4" w:rsidRPr="00802F50" w:rsidRDefault="00406475" w:rsidP="00802F50">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02F50">
        <w:rPr>
          <w:rFonts w:ascii="FangSong_GB2312" w:eastAsia="FangSong_GB2312" w:hAnsi="FangSong_GB2312" w:cs="FangSong_GB2312" w:hint="eastAsia"/>
          <w:kern w:val="2"/>
          <w:sz w:val="32"/>
          <w:szCs w:val="32"/>
        </w:rPr>
        <w:t>电话：</w:t>
      </w:r>
      <w:r w:rsidRPr="00802F50">
        <w:rPr>
          <w:rFonts w:ascii="FangSong_GB2312" w:eastAsia="FangSong_GB2312" w:hAnsi="FangSong_GB2312" w:cs="FangSong_GB2312" w:hint="eastAsia"/>
          <w:kern w:val="2"/>
          <w:sz w:val="32"/>
          <w:szCs w:val="32"/>
        </w:rPr>
        <w:t>010-645050</w:t>
      </w:r>
      <w:r w:rsidRPr="00802F50">
        <w:rPr>
          <w:rFonts w:ascii="FangSong_GB2312" w:eastAsia="FangSong_GB2312" w:hAnsi="FangSong_GB2312" w:cs="FangSong_GB2312" w:hint="eastAsia"/>
          <w:kern w:val="2"/>
          <w:sz w:val="32"/>
          <w:szCs w:val="32"/>
        </w:rPr>
        <w:t>46</w:t>
      </w:r>
    </w:p>
    <w:p w14:paraId="7281BDE1" w14:textId="77777777" w:rsidR="009353C4" w:rsidRPr="00802F50" w:rsidRDefault="00406475" w:rsidP="00802F50">
      <w:pPr>
        <w:pStyle w:val="NormalWeb"/>
        <w:widowControl/>
        <w:spacing w:beforeAutospacing="0" w:afterAutospacing="0" w:line="360" w:lineRule="atLeast"/>
        <w:ind w:firstLineChars="200" w:firstLine="640"/>
        <w:rPr>
          <w:rFonts w:ascii="FangSong_GB2312" w:eastAsia="FangSong_GB2312" w:hAnsi="FangSong_GB2312" w:cs="FangSong_GB2312"/>
          <w:kern w:val="2"/>
          <w:sz w:val="32"/>
          <w:szCs w:val="32"/>
        </w:rPr>
      </w:pPr>
      <w:r w:rsidRPr="00802F50">
        <w:rPr>
          <w:rFonts w:ascii="FangSong_GB2312" w:eastAsia="FangSong_GB2312" w:hAnsi="FangSong_GB2312" w:cs="FangSong_GB2312" w:hint="eastAsia"/>
          <w:kern w:val="2"/>
          <w:sz w:val="32"/>
          <w:szCs w:val="32"/>
        </w:rPr>
        <w:t>邮箱：</w:t>
      </w:r>
      <w:r w:rsidRPr="00802F50">
        <w:rPr>
          <w:rFonts w:ascii="FangSong_GB2312" w:eastAsia="FangSong_GB2312" w:hAnsi="FangSong_GB2312" w:cs="FangSong_GB2312" w:hint="eastAsia"/>
          <w:kern w:val="2"/>
          <w:sz w:val="32"/>
          <w:szCs w:val="32"/>
        </w:rPr>
        <w:t>qiucc</w:t>
      </w:r>
      <w:r w:rsidRPr="00802F50">
        <w:rPr>
          <w:rFonts w:ascii="FangSong_GB2312" w:eastAsia="FangSong_GB2312" w:hAnsi="FangSong_GB2312" w:cs="FangSong_GB2312" w:hint="eastAsia"/>
          <w:kern w:val="2"/>
          <w:sz w:val="32"/>
          <w:szCs w:val="32"/>
        </w:rPr>
        <w:t>@</w:t>
      </w:r>
      <w:r w:rsidRPr="00802F50">
        <w:rPr>
          <w:rFonts w:ascii="FangSong_GB2312" w:eastAsia="FangSong_GB2312" w:hAnsi="FangSong_GB2312" w:cs="FangSong_GB2312"/>
          <w:kern w:val="2"/>
          <w:sz w:val="32"/>
          <w:szCs w:val="32"/>
        </w:rPr>
        <w:t>mail.</w:t>
      </w:r>
      <w:r w:rsidRPr="00802F50">
        <w:rPr>
          <w:rFonts w:ascii="FangSong_GB2312" w:eastAsia="FangSong_GB2312" w:hAnsi="FangSong_GB2312" w:cs="FangSong_GB2312" w:hint="eastAsia"/>
          <w:kern w:val="2"/>
          <w:sz w:val="32"/>
          <w:szCs w:val="32"/>
        </w:rPr>
        <w:t>nai.</w:t>
      </w:r>
      <w:r w:rsidRPr="00802F50">
        <w:rPr>
          <w:rFonts w:ascii="FangSong_GB2312" w:eastAsia="FangSong_GB2312" w:hAnsi="FangSong_GB2312" w:cs="FangSong_GB2312"/>
          <w:kern w:val="2"/>
          <w:sz w:val="32"/>
          <w:szCs w:val="32"/>
        </w:rPr>
        <w:t>edu.cn</w:t>
      </w:r>
    </w:p>
    <w:p w14:paraId="765E527A" w14:textId="77777777" w:rsidR="009353C4" w:rsidRDefault="009353C4"/>
    <w:sectPr w:rsidR="009353C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8A55" w14:textId="77777777" w:rsidR="00406475" w:rsidRDefault="00406475">
      <w:r>
        <w:separator/>
      </w:r>
    </w:p>
  </w:endnote>
  <w:endnote w:type="continuationSeparator" w:id="0">
    <w:p w14:paraId="09FE08FF" w14:textId="77777777" w:rsidR="00406475" w:rsidRDefault="0040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Microsoft YaHei"/>
    <w:panose1 w:val="020B0604020202020204"/>
    <w:charset w:val="86"/>
    <w:family w:val="modern"/>
    <w:pitch w:val="default"/>
    <w:sig w:usb0="00000000" w:usb1="00000000" w:usb2="00000010" w:usb3="00000000" w:csb0="00040000" w:csb1="00000000"/>
  </w:font>
  <w:font w:name="仿宋">
    <w:altName w:val="Microsoft YaHei"/>
    <w:panose1 w:val="02010609060101010101"/>
    <w:charset w:val="86"/>
    <w:family w:val="auto"/>
    <w:pitch w:val="default"/>
    <w:sig w:usb0="800002BF" w:usb1="38CF7CFA" w:usb2="00000016" w:usb3="00000000" w:csb0="00040001" w:csb1="00000000"/>
  </w:font>
  <w:font w:name="STFangsong">
    <w:altName w:val="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5998" w14:textId="77777777" w:rsidR="009353C4" w:rsidRDefault="00406475">
    <w:pPr>
      <w:pStyle w:val="Footer"/>
    </w:pPr>
    <w:r>
      <w:rPr>
        <w:noProof/>
      </w:rPr>
      <mc:AlternateContent>
        <mc:Choice Requires="wps">
          <w:drawing>
            <wp:anchor distT="0" distB="0" distL="114300" distR="114300" simplePos="0" relativeHeight="251659264" behindDoc="0" locked="0" layoutInCell="1" allowOverlap="1" wp14:anchorId="0A8DD1B5" wp14:editId="7DB2D54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AD24C4" w14:textId="77777777" w:rsidR="009353C4" w:rsidRDefault="00406475">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CE2D" w14:textId="77777777" w:rsidR="00406475" w:rsidRDefault="00406475">
      <w:r>
        <w:separator/>
      </w:r>
    </w:p>
  </w:footnote>
  <w:footnote w:type="continuationSeparator" w:id="0">
    <w:p w14:paraId="6B55F2D8" w14:textId="77777777" w:rsidR="00406475" w:rsidRDefault="0040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EA7D" w14:textId="77777777" w:rsidR="009353C4" w:rsidRDefault="00935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3C4"/>
    <w:rsid w:val="00406475"/>
    <w:rsid w:val="00802F50"/>
    <w:rsid w:val="009353C4"/>
    <w:rsid w:val="009C0CEA"/>
    <w:rsid w:val="00A87419"/>
    <w:rsid w:val="0E0C5BE5"/>
    <w:rsid w:val="19587B37"/>
    <w:rsid w:val="39B73AF2"/>
    <w:rsid w:val="45FC2607"/>
    <w:rsid w:val="5A035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A9008A"/>
  <w15:docId w15:val="{F723AA44-913A-B64B-BBCB-6270B1F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pPr>
      <w:spacing w:beforeAutospacing="1" w:afterAutospacing="1"/>
      <w:jc w:val="left"/>
    </w:pPr>
    <w:rPr>
      <w:rFonts w:cs="Times New Roman"/>
      <w:kern w:val="0"/>
      <w:sz w:val="24"/>
    </w:rPr>
  </w:style>
  <w:style w:type="character" w:styleId="Strong">
    <w:name w:val="Strong"/>
    <w:basedOn w:val="DefaultParagraphFont"/>
    <w:qFormat/>
    <w:rPr>
      <w:b/>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4</cp:revision>
  <dcterms:created xsi:type="dcterms:W3CDTF">2023-04-13T05:59:00Z</dcterms:created>
  <dcterms:modified xsi:type="dcterms:W3CDTF">2023-04-21T14:18:00Z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