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“新业态下企业会计准则的最新应用”高级研修班</w:t>
      </w:r>
    </w:p>
    <w:p>
      <w:pPr>
        <w:spacing w:line="360" w:lineRule="auto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招生简章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一、培训背景</w:t>
      </w:r>
    </w:p>
    <w:p>
      <w:pPr>
        <w:spacing w:line="360" w:lineRule="auto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ascii="仿宋" w:hAnsi="仿宋" w:eastAsia="仿宋" w:cs="Calibri"/>
          <w:sz w:val="32"/>
          <w:szCs w:val="32"/>
        </w:rPr>
        <w:t>新经济时代下，会计改革势如破竹，同时，国家大数据战略和互联网+行动计划的实施，推动信息技术与传统行业的深度融合，各种新业态的不断涌现，传统商业模式、交易手段、结算方式等正发生着深刻变革，对企业会计核算也提出了新的挑战。“十三五”时期，我国企业会计准则制度取得了显著成绩，与国际财务报告准则持续趋同。财政部自2014年启动对企业会计准则进行大规模修订和增补以来，根据经济发展、特别是资本市场发展要求，结合国际准则的最新进展，修订完善了金融工具、收入、公允价值计量、财务报表列报、债务重组、非货币性资产交换等多项准则，陆续发布一系列准则的解释性文件。2021年1月，财政部新发布了《企业会计准则解释第14号》，涉及金融工具的确认和计量等问题。</w:t>
      </w:r>
    </w:p>
    <w:p>
      <w:pPr>
        <w:spacing w:line="360" w:lineRule="auto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ascii="仿宋" w:hAnsi="仿宋" w:eastAsia="仿宋" w:cs="Calibri"/>
          <w:sz w:val="32"/>
          <w:szCs w:val="32"/>
        </w:rPr>
        <w:t>北京国家会计学院从自身理论研究与培训优势出发，配备集实践、理论、教学于一身的经验丰富的师资，全面梳理企业会计准则最新调整，结合会计准则在新商业模式和新交易类型中的运用，继续推出“新业态下企业会计准则的最新应用”高级研修班，帮助企业财务人员新经济时代下精准把握准则的最新应用，提升专业水平和综合素养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二、培训收益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1.帮助学员了解新经济时代财务会计核算业务的特点；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2.帮助学员掌握最新会计准则修订的背景、重点与内容变化；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3.帮助学员掌握最新会计准则的实施难点与对策。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</w:t>
      </w:r>
      <w:r>
        <w:rPr>
          <w:rFonts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培训对象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1.企业财务总监、财务经理、财务主管等财务人员；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2.证券监管人员、证券公司投资分析师；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3.会计师事务所等中介机构执业人员；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4.高校从事财务会计教学的教师。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四</w:t>
      </w:r>
      <w:r>
        <w:rPr>
          <w:rFonts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培训内容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（一）企业会计准则的最新修订与发展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1.会计改革与发展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2.企业会计准则最新修订的重点与变化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3.中国企业会计准则与国际准则的趋同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（二）企业会计准则重点项目解读与实务操作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1.金融工具准则解读与实务操作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（1）金融工具概述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（2）金融资产和金融负债的分类和重分类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（3）金融负债和权益工具的区分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（4）金融工具的计量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（5）金融资产转移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（6）套期会计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2.收入准则解读与实务操作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（1）收入的确认与计量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（2）合同成本的处理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（3）特殊交易的收入确认与计量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3.其他准则解读与实务操作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（1）政府补助准则解读与实务操作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（2）持有待售的非流动资产、处置组和终止经营准则解读与实务操作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（3）列报准则解读与实务操作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（4）租赁准则解读与实务操作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（5）或有事项的确认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（三）企业会计准则执行中的难点热点问题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1.长期股权投资的难点问题解析与案例分析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（1）长期股权投资核算的主要变化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（2）企业合并的长期股权投资核算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（3）投资日以后的后续计量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（4）成本法和权益法转换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2.资产减值的难点问题解析与案例分析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（1）资产减值准备的特点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（2）减值准备在实际运用中存在的问题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3.企业合并与合并报表重难点问题解析与案例分析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（1）同一控制下的吸收合并案例分析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（2）同一控制下的控股合并案例分析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（3）非同一控制下的吸收合并案例分析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（4）非同一控制下的控股合并案例分析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（5）企业合并披露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（四）企业会计准则在新商业模式中的运用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1.以股权为标的新业态融资方式下的会计处理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2.电商业务的会计处理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3.新商业模式下财务处理的原则性问题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（五）结构化研讨：企业在执行新会计准则中存在的困惑及解决对策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五、培训方式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帮助企业财务人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六</w:t>
      </w:r>
      <w:r>
        <w:rPr>
          <w:rFonts w:hint="eastAsia" w:ascii="仿宋" w:hAnsi="仿宋" w:eastAsia="仿宋" w:cs="华文仿宋"/>
          <w:b/>
          <w:bCs/>
          <w:spacing w:val="5"/>
          <w:kern w:val="0"/>
          <w:sz w:val="32"/>
          <w:szCs w:val="32"/>
        </w:rPr>
        <w:t>、师资力量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北京国家会计学院专门从事会计准则研究的专家团队；财政部会计司、会计准则委员会制定会计准则的专家；长期从事于会计准则实务的企业、会计师事务所专家；高校长期从事会计准则研究的专家。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b/>
          <w:bCs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spacing w:val="5"/>
          <w:kern w:val="0"/>
          <w:sz w:val="32"/>
          <w:szCs w:val="32"/>
        </w:rPr>
        <w:t>七、面授时间地点</w:t>
      </w:r>
    </w:p>
    <w:tbl>
      <w:tblPr>
        <w:tblStyle w:val="10"/>
        <w:tblpPr w:vertAnchor="text"/>
        <w:tblW w:w="86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857"/>
        <w:gridCol w:w="1740"/>
        <w:gridCol w:w="2115"/>
        <w:gridCol w:w="15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期     数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开始时间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总第31期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2月14日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2月15日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2月17日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总第32期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2月28日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3月1日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3月3日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总第33期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4月25日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4月26日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4月28日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总第34期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5月9日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5月10日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5月12日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总第35期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6月8日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6月9日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6月11日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珠海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总第36期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8月24日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8月25日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8月27日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总第37期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9月14日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9月15日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9月17日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总第38期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10月11日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10月12日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10月14日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总第39期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11月16日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11月17日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11月19日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桂林</w:t>
            </w:r>
          </w:p>
        </w:tc>
      </w:tr>
    </w:tbl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八、结业及考核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b/>
          <w:bCs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完成全部课程学习，</w:t>
      </w:r>
      <w:r>
        <w:rPr>
          <w:rFonts w:ascii="仿宋" w:hAnsi="仿宋" w:eastAsia="仿宋" w:cs="华文仿宋"/>
          <w:sz w:val="32"/>
          <w:szCs w:val="32"/>
          <w:lang w:val="en-US"/>
        </w:rPr>
        <w:t>学员可获得</w:t>
      </w:r>
      <w:r>
        <w:rPr>
          <w:rFonts w:ascii="仿宋" w:hAnsi="仿宋" w:eastAsia="仿宋" w:cs="华文仿宋"/>
          <w:sz w:val="32"/>
          <w:szCs w:val="32"/>
        </w:rPr>
        <w:t>北京国家会计学院</w:t>
      </w:r>
      <w:r>
        <w:rPr>
          <w:rFonts w:ascii="仿宋" w:hAnsi="仿宋" w:eastAsia="仿宋" w:cs="华文仿宋"/>
          <w:sz w:val="32"/>
          <w:szCs w:val="32"/>
          <w:lang w:val="en-US"/>
        </w:rPr>
        <w:t>颁发的研修班</w:t>
      </w:r>
      <w:r>
        <w:rPr>
          <w:rFonts w:ascii="仿宋" w:hAnsi="仿宋" w:eastAsia="仿宋" w:cs="华文仿宋"/>
          <w:sz w:val="32"/>
          <w:szCs w:val="32"/>
        </w:rPr>
        <w:t>结业证书（</w:t>
      </w:r>
      <w:r>
        <w:rPr>
          <w:rFonts w:ascii="仿宋" w:hAnsi="仿宋" w:eastAsia="仿宋" w:cs="华文仿宋"/>
          <w:sz w:val="32"/>
          <w:szCs w:val="32"/>
          <w:lang w:val="en-US"/>
        </w:rPr>
        <w:t>电子版</w:t>
      </w:r>
      <w:r>
        <w:rPr>
          <w:rFonts w:ascii="仿宋" w:hAnsi="仿宋" w:eastAsia="仿宋" w:cs="华文仿宋"/>
          <w:sz w:val="32"/>
          <w:szCs w:val="32"/>
        </w:rPr>
        <w:t>）。</w:t>
      </w:r>
    </w:p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九、收费标准和</w:t>
      </w:r>
      <w:r>
        <w:rPr>
          <w:rFonts w:ascii="仿宋" w:hAnsi="仿宋" w:eastAsia="仿宋" w:cs="华文仿宋"/>
          <w:kern w:val="0"/>
        </w:rPr>
        <w:t>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1.收费标准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</w:rPr>
        <w:t>培训费：人民币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480</w:t>
      </w:r>
      <w:r>
        <w:rPr>
          <w:rFonts w:ascii="仿宋" w:hAnsi="仿宋" w:eastAsia="仿宋" w:cs="华文仿宋"/>
          <w:sz w:val="32"/>
          <w:szCs w:val="32"/>
          <w:lang w:val="en-US"/>
        </w:rPr>
        <w:t>0</w:t>
      </w:r>
      <w:r>
        <w:rPr>
          <w:rFonts w:ascii="仿宋" w:hAnsi="仿宋" w:eastAsia="仿宋" w:cs="华文仿宋"/>
          <w:sz w:val="32"/>
          <w:szCs w:val="32"/>
        </w:rPr>
        <w:t>元/人</w:t>
      </w:r>
      <w:r>
        <w:rPr>
          <w:rFonts w:ascii="仿宋" w:hAnsi="仿宋" w:eastAsia="仿宋" w:cs="华文仿宋"/>
          <w:sz w:val="32"/>
          <w:szCs w:val="32"/>
          <w:lang w:val="en-US"/>
        </w:rPr>
        <w:t>（不含食宿）。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食宿费：住宿房型、食宿标准以及支付方式详见开课通知。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2.缴费方式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汇款信息如下：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单位名称：北京国家会计学院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汇款账号：1100 1020 1000 5603 0985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开户行：中国建设银行北京天竺支行（201）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3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hint="default" w:ascii="仿宋" w:hAnsi="仿宋" w:eastAsia="仿宋" w:cs="华文仿宋"/>
          <w:b/>
          <w:bCs/>
          <w:sz w:val="32"/>
          <w:szCs w:val="32"/>
          <w:lang w:val="en-US"/>
        </w:rPr>
        <w:t>特别提示：</w:t>
      </w:r>
      <w:r>
        <w:rPr>
          <w:rFonts w:ascii="仿宋" w:hAnsi="仿宋" w:eastAsia="仿宋" w:cs="华文仿宋"/>
          <w:sz w:val="32"/>
          <w:szCs w:val="32"/>
          <w:lang w:val="en-US"/>
        </w:rPr>
        <w:t>培训班如确定开班，学院将在开班前一周给学员发送《开课通知》。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如因报名人数</w:t>
      </w:r>
      <w:r>
        <w:rPr>
          <w:rFonts w:ascii="仿宋" w:hAnsi="仿宋" w:eastAsia="仿宋" w:cs="华文仿宋"/>
          <w:sz w:val="32"/>
          <w:szCs w:val="32"/>
          <w:lang w:val="en-US"/>
        </w:rPr>
        <w:t>低于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开班人数要求，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有权取消该班</w:t>
      </w:r>
      <w:r>
        <w:rPr>
          <w:rFonts w:ascii="仿宋" w:hAnsi="仿宋" w:eastAsia="仿宋" w:cs="华文仿宋"/>
          <w:sz w:val="32"/>
          <w:szCs w:val="32"/>
          <w:lang w:val="en-US"/>
        </w:rPr>
        <w:t>，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均不承担法律责任。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十、联系我们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联系人：邱老师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电话：010-645050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46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邮箱：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qiucc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@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mail.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nai.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edu.cn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WU3ZWNiMzgzNzAwZWVhYzBhOWY3ZTkwYzQyMjUifQ=="/>
  </w:docVars>
  <w:rsids>
    <w:rsidRoot w:val="1B927997"/>
    <w:rsid w:val="00060098"/>
    <w:rsid w:val="00093CFB"/>
    <w:rsid w:val="000A7EA1"/>
    <w:rsid w:val="000B0F58"/>
    <w:rsid w:val="0012146F"/>
    <w:rsid w:val="001457F1"/>
    <w:rsid w:val="00181B3D"/>
    <w:rsid w:val="001E04D7"/>
    <w:rsid w:val="002B77D4"/>
    <w:rsid w:val="002F6D8C"/>
    <w:rsid w:val="00364F0F"/>
    <w:rsid w:val="003A686E"/>
    <w:rsid w:val="003F5246"/>
    <w:rsid w:val="0040799D"/>
    <w:rsid w:val="00455E39"/>
    <w:rsid w:val="004C34B6"/>
    <w:rsid w:val="005F1FFB"/>
    <w:rsid w:val="00670543"/>
    <w:rsid w:val="00694325"/>
    <w:rsid w:val="007D73D4"/>
    <w:rsid w:val="00803DE5"/>
    <w:rsid w:val="0088010D"/>
    <w:rsid w:val="0093478C"/>
    <w:rsid w:val="009520CE"/>
    <w:rsid w:val="009C71E0"/>
    <w:rsid w:val="00A02F78"/>
    <w:rsid w:val="00A15FB9"/>
    <w:rsid w:val="00A31BB2"/>
    <w:rsid w:val="00A95700"/>
    <w:rsid w:val="00B21E81"/>
    <w:rsid w:val="00BF5104"/>
    <w:rsid w:val="00E26172"/>
    <w:rsid w:val="00ED116A"/>
    <w:rsid w:val="00F563F5"/>
    <w:rsid w:val="00F57F8F"/>
    <w:rsid w:val="00F64CCC"/>
    <w:rsid w:val="01590D50"/>
    <w:rsid w:val="03A4089B"/>
    <w:rsid w:val="082B21CD"/>
    <w:rsid w:val="0A745D33"/>
    <w:rsid w:val="0EE50085"/>
    <w:rsid w:val="14926D30"/>
    <w:rsid w:val="154A7127"/>
    <w:rsid w:val="159F6791"/>
    <w:rsid w:val="1B8C702D"/>
    <w:rsid w:val="1B927997"/>
    <w:rsid w:val="21752C6A"/>
    <w:rsid w:val="2D5E3FF4"/>
    <w:rsid w:val="2DEC28E0"/>
    <w:rsid w:val="34DC5032"/>
    <w:rsid w:val="36B12BB1"/>
    <w:rsid w:val="3872087A"/>
    <w:rsid w:val="3F8A6E6E"/>
    <w:rsid w:val="41E73E41"/>
    <w:rsid w:val="43255E5C"/>
    <w:rsid w:val="439B60C9"/>
    <w:rsid w:val="4DFD03C3"/>
    <w:rsid w:val="521B5645"/>
    <w:rsid w:val="52D40D60"/>
    <w:rsid w:val="5364260C"/>
    <w:rsid w:val="559162EC"/>
    <w:rsid w:val="583801FC"/>
    <w:rsid w:val="62EF46EC"/>
    <w:rsid w:val="64AC4CC1"/>
    <w:rsid w:val="66B108E6"/>
    <w:rsid w:val="6A9E69FE"/>
    <w:rsid w:val="6EDA5BDB"/>
    <w:rsid w:val="709905BC"/>
    <w:rsid w:val="72F3061A"/>
    <w:rsid w:val="76442A34"/>
    <w:rsid w:val="76764E51"/>
    <w:rsid w:val="792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17"/>
    <w:qFormat/>
    <w:uiPriority w:val="0"/>
    <w:rPr>
      <w:b/>
      <w:bCs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默认"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348</Words>
  <Characters>1989</Characters>
  <Lines>16</Lines>
  <Paragraphs>4</Paragraphs>
  <TotalTime>139</TotalTime>
  <ScaleCrop>false</ScaleCrop>
  <LinksUpToDate>false</LinksUpToDate>
  <CharactersWithSpaces>2333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2023-03-09T02:58:00Z</dcterms:created>
  <dc:creator>李青</dc:creator>
  <cp:lastModifiedBy>姜xiaomao</cp:lastModifiedBy>
  <cp:lastPrinted>2023-03-13T08:17:00Z</cp:lastPrinted>
  <dcterms:modified xsi:type="dcterms:W3CDTF">2023-04-20T06:42:52Z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2EA997AB793B425486E46A6000F35648</vt:lpwstr>
  </property>
</Properties>
</file>