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 w:cs="仿宋_GB2312"/>
          <w:b/>
          <w:bCs/>
          <w:sz w:val="36"/>
          <w:szCs w:val="36"/>
        </w:rPr>
      </w:pPr>
      <w:r>
        <w:rPr>
          <w:rFonts w:hint="eastAsia" w:ascii="仿宋" w:hAnsi="仿宋" w:eastAsia="仿宋" w:cs="仿宋_GB2312"/>
          <w:b/>
          <w:bCs/>
          <w:sz w:val="36"/>
          <w:szCs w:val="36"/>
        </w:rPr>
        <w:t>“新金融工具准则解读及实务操作”高级研修班</w:t>
      </w:r>
    </w:p>
    <w:p>
      <w:pPr>
        <w:spacing w:line="360" w:lineRule="auto"/>
        <w:jc w:val="center"/>
        <w:rPr>
          <w:rFonts w:ascii="仿宋" w:hAnsi="仿宋" w:eastAsia="仿宋" w:cs="仿宋_GB2312"/>
          <w:b/>
          <w:bCs/>
          <w:sz w:val="36"/>
          <w:szCs w:val="36"/>
        </w:rPr>
      </w:pPr>
      <w:r>
        <w:rPr>
          <w:rFonts w:hint="eastAsia" w:ascii="仿宋" w:hAnsi="仿宋" w:eastAsia="仿宋" w:cs="仿宋_GB2312"/>
          <w:b/>
          <w:bCs/>
          <w:sz w:val="36"/>
          <w:szCs w:val="36"/>
        </w:rPr>
        <w:t>招生简章</w:t>
      </w:r>
    </w:p>
    <w:p>
      <w:pPr>
        <w:spacing w:line="360" w:lineRule="auto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一、培训背景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自财政部2017年修订发布《企业会计准则第22号——金融工具确认和计量》（财会〔2017〕7号）、《企业会计准则第23号——金融资产转移》（财会〔2017〕8号）、《企业会计准则第24号——套期会计》（财会〔2017〕9号）和《企业会计准则第37号——金融工具列报》（财会〔2017〕14号）（以下简称新金融工具相关会计准则）以来，新金融工具相关会计准则陆续在境内外上市企业平稳实施。为进一步加强对企业实施新金融工具相关会计准则的指导，2020年12月30日，国家发布了《关于进一步贯彻落实新金融工具相关会计准则的通知》指出了一系列实施措施指导，确保新金融工具相关会计准则的有效实施，不断提高企业会计信息质量。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北京国家会计学院从自身理论研究与培训优势出发，配备集实践、理论、教学于一身的经验丰富的师资，全面梳理新金融工具准则最新调整，结合如何做好监管资本过渡安排以及预期信用损失法的应用等方面，继续推出“新金融工具准则解读及实务操作”高级研修班，帮助企业财务人员新经济时代下精准把握准则的最新应用，提升专业水平和综合素养。</w:t>
      </w:r>
    </w:p>
    <w:p>
      <w:pPr>
        <w:spacing w:line="360" w:lineRule="auto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二、培训收益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1.帮助学员了解新金融工具准则的特点；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2.帮助学员掌握新金融工具准则修订的背景、重点与内容变化；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3.帮助学员掌握新金融工具准则的实施难点与对策。</w:t>
      </w:r>
    </w:p>
    <w:p>
      <w:pPr>
        <w:spacing w:line="360" w:lineRule="auto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三</w:t>
      </w:r>
      <w:r>
        <w:rPr>
          <w:rFonts w:ascii="仿宋" w:hAnsi="仿宋" w:eastAsia="仿宋" w:cs="仿宋_GB2312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培训对象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1.企业财务总监、财务经理、财务主管等财务人员；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2.证券监管人员、证券公司投资分析师；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3.会计师事务所等中介机构执业人员；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4.高校从事财务会计教学的教师。</w:t>
      </w:r>
    </w:p>
    <w:p>
      <w:pPr>
        <w:spacing w:line="360" w:lineRule="auto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四</w:t>
      </w:r>
      <w:r>
        <w:rPr>
          <w:rFonts w:ascii="仿宋" w:hAnsi="仿宋" w:eastAsia="仿宋" w:cs="仿宋_GB2312"/>
          <w:b/>
          <w:bCs/>
          <w:sz w:val="32"/>
          <w:szCs w:val="32"/>
        </w:rPr>
        <w:t>、</w:t>
      </w:r>
      <w:r>
        <w:rPr>
          <w:rFonts w:hint="eastAsia" w:ascii="仿宋" w:hAnsi="仿宋" w:eastAsia="仿宋" w:cs="仿宋_GB2312"/>
          <w:b/>
          <w:bCs/>
          <w:sz w:val="32"/>
          <w:szCs w:val="32"/>
        </w:rPr>
        <w:t>培训内容</w:t>
      </w:r>
    </w:p>
    <w:p>
      <w:pPr>
        <w:widowControl/>
        <w:shd w:val="clear" w:color="auto" w:fill="FFFFFF"/>
        <w:spacing w:line="360" w:lineRule="auto"/>
        <w:ind w:firstLine="643" w:firstLineChars="200"/>
        <w:rPr>
          <w:rFonts w:ascii="仿宋" w:hAnsi="仿宋" w:eastAsia="仿宋" w:cs="仿宋_GB2312"/>
          <w:b/>
          <w:sz w:val="32"/>
          <w:szCs w:val="32"/>
        </w:rPr>
      </w:pPr>
      <w:r>
        <w:rPr>
          <w:rFonts w:ascii="仿宋" w:hAnsi="仿宋" w:eastAsia="仿宋" w:cs="仿宋_GB2312"/>
          <w:b/>
          <w:sz w:val="32"/>
          <w:szCs w:val="32"/>
        </w:rPr>
        <w:t>（一）新金融工具准则的最新修订与发展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1.新金融工具准则的改革与发展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2.新金融工具准则最新修订的重点与变化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3.新旧金融工具准则对比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4.新金融工具会计准则评价及解析</w:t>
      </w:r>
    </w:p>
    <w:p>
      <w:pPr>
        <w:widowControl/>
        <w:shd w:val="clear" w:color="auto" w:fill="FFFFFF"/>
        <w:spacing w:line="360" w:lineRule="auto"/>
        <w:ind w:firstLine="643" w:firstLineChars="200"/>
        <w:rPr>
          <w:rFonts w:ascii="仿宋" w:hAnsi="仿宋" w:eastAsia="仿宋" w:cs="仿宋_GB2312"/>
          <w:b/>
          <w:sz w:val="32"/>
          <w:szCs w:val="32"/>
        </w:rPr>
      </w:pPr>
      <w:r>
        <w:rPr>
          <w:rFonts w:ascii="仿宋" w:hAnsi="仿宋" w:eastAsia="仿宋" w:cs="仿宋_GB2312"/>
          <w:b/>
          <w:sz w:val="32"/>
          <w:szCs w:val="32"/>
        </w:rPr>
        <w:t>（二）新金融工具准则重点项目解读与实务操作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ascii="仿宋" w:hAnsi="仿宋" w:eastAsia="仿宋" w:cs="仿宋_GB2312"/>
          <w:sz w:val="32"/>
          <w:szCs w:val="32"/>
        </w:rPr>
        <w:t>1.金融工具概述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2.金融资产和金融负债的分类和重分类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3.金融负债和权益工具的区分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4.金融工具的计量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5.金融资产分类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6.金融资产转移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7.套期会计</w:t>
      </w:r>
    </w:p>
    <w:p>
      <w:pPr>
        <w:widowControl/>
        <w:shd w:val="clear" w:color="auto" w:fill="FFFFFF"/>
        <w:spacing w:line="360" w:lineRule="auto"/>
        <w:ind w:firstLine="643" w:firstLineChars="200"/>
        <w:rPr>
          <w:rFonts w:ascii="仿宋" w:hAnsi="仿宋" w:eastAsia="仿宋" w:cs="仿宋_GB2312"/>
          <w:b/>
          <w:sz w:val="32"/>
          <w:szCs w:val="32"/>
        </w:rPr>
      </w:pPr>
      <w:r>
        <w:rPr>
          <w:rFonts w:ascii="仿宋" w:hAnsi="仿宋" w:eastAsia="仿宋" w:cs="仿宋_GB2312"/>
          <w:b/>
          <w:sz w:val="32"/>
          <w:szCs w:val="32"/>
        </w:rPr>
        <w:t>（三）新金融工具准则执行中的难点热点问题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1.金融工具的初始确认与终止确认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2.金融工具的减值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3.新金融工具会计准则下的企业会计报表编制分析</w:t>
      </w:r>
    </w:p>
    <w:p>
      <w:pPr>
        <w:widowControl/>
        <w:shd w:val="clear" w:color="auto" w:fill="FFFFFF"/>
        <w:spacing w:line="360" w:lineRule="auto"/>
        <w:ind w:firstLine="643" w:firstLineChars="200"/>
        <w:rPr>
          <w:rFonts w:ascii="仿宋" w:hAnsi="仿宋" w:eastAsia="仿宋" w:cs="仿宋_GB2312"/>
          <w:b/>
          <w:sz w:val="32"/>
          <w:szCs w:val="32"/>
        </w:rPr>
      </w:pPr>
      <w:r>
        <w:rPr>
          <w:rFonts w:ascii="仿宋" w:hAnsi="仿宋" w:eastAsia="仿宋" w:cs="仿宋_GB2312"/>
          <w:b/>
          <w:sz w:val="32"/>
          <w:szCs w:val="32"/>
        </w:rPr>
        <w:t>（四）</w:t>
      </w:r>
      <w:r>
        <w:fldChar w:fldCharType="begin"/>
      </w:r>
      <w:r>
        <w:instrText xml:space="preserve"> HYPERLINK "https://kns.cnki.net/KNS8/Detail?sfield=fn&amp;QueryID=0&amp;CurRec=34&amp;recid=&amp;FileName=JKJS202009032&amp;DbName=CJFDLAST2020&amp;DbCode=CJFD&amp;yx=&amp;pr=&amp;URLID=" \t "_blank" </w:instrText>
      </w:r>
      <w:r>
        <w:fldChar w:fldCharType="separate"/>
      </w:r>
      <w:r>
        <w:rPr>
          <w:rFonts w:ascii="仿宋" w:hAnsi="仿宋" w:eastAsia="仿宋" w:cs="仿宋_GB2312"/>
          <w:b/>
          <w:sz w:val="32"/>
          <w:szCs w:val="32"/>
        </w:rPr>
        <w:t>新冠疫情对新金融工具系列准则应用的影响</w:t>
      </w:r>
      <w:r>
        <w:rPr>
          <w:rFonts w:ascii="仿宋" w:hAnsi="仿宋" w:eastAsia="仿宋" w:cs="仿宋_GB2312"/>
          <w:b/>
          <w:sz w:val="32"/>
          <w:szCs w:val="32"/>
        </w:rPr>
        <w:fldChar w:fldCharType="end"/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</w:rPr>
        <w:t> </w:t>
      </w:r>
      <w:r>
        <w:rPr>
          <w:rFonts w:ascii="仿宋" w:hAnsi="仿宋" w:eastAsia="仿宋" w:cs="仿宋_GB2312"/>
          <w:sz w:val="32"/>
          <w:szCs w:val="32"/>
        </w:rPr>
        <w:t>1.疫情对金融工具确认和计量的影响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（1）应收账款和合同资产的减值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（2）其他应收款的减值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（3）财务担保合同的减值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2.疫情对金融资产转移的影响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3.疫情对套期保值的影响</w:t>
      </w:r>
    </w:p>
    <w:p>
      <w:pPr>
        <w:widowControl/>
        <w:shd w:val="clear" w:color="auto" w:fill="FFFFFF"/>
        <w:spacing w:line="360" w:lineRule="auto"/>
        <w:ind w:firstLine="643" w:firstLineChars="200"/>
        <w:rPr>
          <w:rFonts w:ascii="仿宋" w:hAnsi="仿宋" w:eastAsia="仿宋" w:cs="仿宋_GB2312"/>
          <w:b/>
          <w:sz w:val="32"/>
          <w:szCs w:val="32"/>
        </w:rPr>
      </w:pPr>
      <w:r>
        <w:rPr>
          <w:rFonts w:ascii="仿宋" w:hAnsi="仿宋" w:eastAsia="仿宋" w:cs="仿宋_GB2312"/>
          <w:b/>
          <w:sz w:val="32"/>
          <w:szCs w:val="32"/>
        </w:rPr>
        <w:t>（五）结构化研讨：新金融工具准则中存在的困惑及解决对策</w:t>
      </w:r>
    </w:p>
    <w:p>
      <w:pPr>
        <w:spacing w:line="360" w:lineRule="auto"/>
        <w:rPr>
          <w:rFonts w:ascii="仿宋" w:hAnsi="仿宋" w:eastAsia="仿宋" w:cs="仿宋_GB2312"/>
          <w:b/>
          <w:bCs/>
          <w:sz w:val="32"/>
          <w:szCs w:val="32"/>
        </w:rPr>
      </w:pPr>
      <w:r>
        <w:rPr>
          <w:rFonts w:hint="eastAsia" w:ascii="仿宋" w:hAnsi="仿宋" w:eastAsia="仿宋" w:cs="仿宋_GB2312"/>
          <w:b/>
          <w:bCs/>
          <w:sz w:val="32"/>
          <w:szCs w:val="32"/>
        </w:rPr>
        <w:t>五、培训方式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为帮助企业财务人员更快地了解课程资讯，更有效地掌握培训内容，本研修班以面授课堂为主，同时将免费推送给学员与本主题相关的精品录播课程，方便学员利用网络课堂提前预习、巩固相关专业知识，再结合面授课堂进一步强化、拓展。</w:t>
      </w:r>
    </w:p>
    <w:p>
      <w:pPr>
        <w:widowControl/>
        <w:shd w:val="clear" w:color="auto" w:fill="FFFFFF"/>
        <w:spacing w:line="360" w:lineRule="auto"/>
        <w:rPr>
          <w:rFonts w:ascii="仿宋" w:hAnsi="仿宋" w:eastAsia="仿宋" w:cs="华文仿宋"/>
          <w:spacing w:val="6"/>
          <w:kern w:val="0"/>
          <w:sz w:val="32"/>
          <w:szCs w:val="32"/>
        </w:rPr>
      </w:pPr>
      <w:r>
        <w:rPr>
          <w:rFonts w:hint="eastAsia" w:ascii="仿宋" w:hAnsi="仿宋" w:eastAsia="仿宋" w:cs="仿宋_GB2312"/>
          <w:b/>
          <w:sz w:val="32"/>
          <w:szCs w:val="32"/>
        </w:rPr>
        <w:t>六</w:t>
      </w:r>
      <w:r>
        <w:rPr>
          <w:rFonts w:hint="eastAsia" w:ascii="仿宋" w:hAnsi="仿宋" w:eastAsia="仿宋" w:cs="华文仿宋"/>
          <w:b/>
          <w:bCs/>
          <w:spacing w:val="5"/>
          <w:kern w:val="0"/>
          <w:sz w:val="32"/>
          <w:szCs w:val="32"/>
        </w:rPr>
        <w:t>、师资力量</w:t>
      </w:r>
    </w:p>
    <w:p>
      <w:pPr>
        <w:widowControl/>
        <w:shd w:val="clear" w:color="auto" w:fill="FFFFFF"/>
        <w:spacing w:line="360" w:lineRule="auto"/>
        <w:ind w:firstLine="640" w:firstLineChars="200"/>
        <w:rPr>
          <w:rFonts w:ascii="仿宋" w:hAnsi="仿宋" w:eastAsia="仿宋" w:cs="仿宋_GB2312"/>
          <w:sz w:val="32"/>
          <w:szCs w:val="32"/>
        </w:rPr>
      </w:pPr>
      <w:r>
        <w:rPr>
          <w:rFonts w:ascii="仿宋" w:hAnsi="仿宋" w:eastAsia="仿宋" w:cs="仿宋_GB2312"/>
          <w:sz w:val="32"/>
          <w:szCs w:val="32"/>
        </w:rPr>
        <w:t>北京国家会计学院专门从事会计准则研究的专家团队；财政部会计司、会计准则委员会制定会计准则的专家；长期从事于新金融工具准则实务的企业、会计师事务所专家；高校长期从事会计准则研究的专家。</w:t>
      </w:r>
    </w:p>
    <w:p>
      <w:pPr>
        <w:widowControl/>
        <w:shd w:val="clear" w:color="auto" w:fill="FFFFFF"/>
        <w:spacing w:line="360" w:lineRule="auto"/>
        <w:rPr>
          <w:rFonts w:ascii="仿宋" w:hAnsi="仿宋" w:eastAsia="仿宋" w:cs="华文仿宋"/>
          <w:b/>
          <w:bCs/>
          <w:spacing w:val="5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b/>
          <w:bCs/>
          <w:spacing w:val="5"/>
          <w:kern w:val="0"/>
          <w:sz w:val="32"/>
          <w:szCs w:val="32"/>
        </w:rPr>
        <w:t>七、面授时间地点</w:t>
      </w:r>
    </w:p>
    <w:tbl>
      <w:tblPr>
        <w:tblStyle w:val="10"/>
        <w:tblpPr w:vertAnchor="text"/>
        <w:tblW w:w="4998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35"/>
        <w:gridCol w:w="1786"/>
        <w:gridCol w:w="1673"/>
        <w:gridCol w:w="2032"/>
        <w:gridCol w:w="149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8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期     数</w:t>
            </w:r>
          </w:p>
        </w:tc>
        <w:tc>
          <w:tcPr>
            <w:tcW w:w="10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报到时间</w:t>
            </w:r>
          </w:p>
        </w:tc>
        <w:tc>
          <w:tcPr>
            <w:tcW w:w="10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开始时间</w:t>
            </w:r>
          </w:p>
        </w:tc>
        <w:tc>
          <w:tcPr>
            <w:tcW w:w="12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结束时间</w:t>
            </w:r>
          </w:p>
        </w:tc>
        <w:tc>
          <w:tcPr>
            <w:tcW w:w="8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培训地点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总第15期</w:t>
            </w:r>
          </w:p>
        </w:tc>
        <w:tc>
          <w:tcPr>
            <w:tcW w:w="10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2月19日</w:t>
            </w:r>
          </w:p>
        </w:tc>
        <w:tc>
          <w:tcPr>
            <w:tcW w:w="10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2月20日</w:t>
            </w:r>
          </w:p>
        </w:tc>
        <w:tc>
          <w:tcPr>
            <w:tcW w:w="12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2月22日</w:t>
            </w:r>
          </w:p>
        </w:tc>
        <w:tc>
          <w:tcPr>
            <w:tcW w:w="8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珠海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总第16期</w:t>
            </w:r>
          </w:p>
        </w:tc>
        <w:tc>
          <w:tcPr>
            <w:tcW w:w="10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3月5日</w:t>
            </w:r>
          </w:p>
        </w:tc>
        <w:tc>
          <w:tcPr>
            <w:tcW w:w="10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3月6日</w:t>
            </w:r>
          </w:p>
        </w:tc>
        <w:tc>
          <w:tcPr>
            <w:tcW w:w="12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3月8日</w:t>
            </w:r>
          </w:p>
        </w:tc>
        <w:tc>
          <w:tcPr>
            <w:tcW w:w="8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广州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总第17期</w:t>
            </w:r>
          </w:p>
        </w:tc>
        <w:tc>
          <w:tcPr>
            <w:tcW w:w="10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4月18日</w:t>
            </w:r>
          </w:p>
        </w:tc>
        <w:tc>
          <w:tcPr>
            <w:tcW w:w="10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4月19日</w:t>
            </w:r>
          </w:p>
        </w:tc>
        <w:tc>
          <w:tcPr>
            <w:tcW w:w="12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4月21日</w:t>
            </w:r>
          </w:p>
        </w:tc>
        <w:tc>
          <w:tcPr>
            <w:tcW w:w="8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青岛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总第18期</w:t>
            </w:r>
          </w:p>
        </w:tc>
        <w:tc>
          <w:tcPr>
            <w:tcW w:w="10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5月16日</w:t>
            </w:r>
          </w:p>
        </w:tc>
        <w:tc>
          <w:tcPr>
            <w:tcW w:w="10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5月17日</w:t>
            </w:r>
          </w:p>
        </w:tc>
        <w:tc>
          <w:tcPr>
            <w:tcW w:w="12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5月19日</w:t>
            </w:r>
          </w:p>
        </w:tc>
        <w:tc>
          <w:tcPr>
            <w:tcW w:w="8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桂林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总第19期</w:t>
            </w:r>
          </w:p>
        </w:tc>
        <w:tc>
          <w:tcPr>
            <w:tcW w:w="10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6月18日</w:t>
            </w:r>
          </w:p>
        </w:tc>
        <w:tc>
          <w:tcPr>
            <w:tcW w:w="10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6月19日</w:t>
            </w:r>
          </w:p>
        </w:tc>
        <w:tc>
          <w:tcPr>
            <w:tcW w:w="12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6月21日</w:t>
            </w:r>
          </w:p>
        </w:tc>
        <w:tc>
          <w:tcPr>
            <w:tcW w:w="8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总第20期</w:t>
            </w:r>
          </w:p>
        </w:tc>
        <w:tc>
          <w:tcPr>
            <w:tcW w:w="10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9月21日</w:t>
            </w:r>
          </w:p>
        </w:tc>
        <w:tc>
          <w:tcPr>
            <w:tcW w:w="10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9月22日</w:t>
            </w:r>
          </w:p>
        </w:tc>
        <w:tc>
          <w:tcPr>
            <w:tcW w:w="12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9月24日</w:t>
            </w:r>
          </w:p>
        </w:tc>
        <w:tc>
          <w:tcPr>
            <w:tcW w:w="8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北京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总第21期</w:t>
            </w:r>
          </w:p>
        </w:tc>
        <w:tc>
          <w:tcPr>
            <w:tcW w:w="10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10月19日</w:t>
            </w:r>
          </w:p>
        </w:tc>
        <w:tc>
          <w:tcPr>
            <w:tcW w:w="10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10月20日</w:t>
            </w:r>
          </w:p>
        </w:tc>
        <w:tc>
          <w:tcPr>
            <w:tcW w:w="12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10月22日</w:t>
            </w:r>
          </w:p>
        </w:tc>
        <w:tc>
          <w:tcPr>
            <w:tcW w:w="8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济南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</w:trPr>
        <w:tc>
          <w:tcPr>
            <w:tcW w:w="802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总第22期</w:t>
            </w:r>
          </w:p>
        </w:tc>
        <w:tc>
          <w:tcPr>
            <w:tcW w:w="1073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11月23日</w:t>
            </w:r>
          </w:p>
        </w:tc>
        <w:tc>
          <w:tcPr>
            <w:tcW w:w="1005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11月24日</w:t>
            </w:r>
          </w:p>
        </w:tc>
        <w:tc>
          <w:tcPr>
            <w:tcW w:w="1221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11月26日</w:t>
            </w:r>
          </w:p>
        </w:tc>
        <w:tc>
          <w:tcPr>
            <w:tcW w:w="897" w:type="pct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  <w:vAlign w:val="center"/>
          </w:tcPr>
          <w:p>
            <w:pPr>
              <w:pStyle w:val="8"/>
              <w:widowControl/>
              <w:spacing w:beforeAutospacing="0" w:afterAutospacing="0" w:line="360" w:lineRule="auto"/>
              <w:jc w:val="center"/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535455"/>
                <w:sz w:val="28"/>
                <w:szCs w:val="28"/>
              </w:rPr>
              <w:t>成都</w:t>
            </w:r>
          </w:p>
        </w:tc>
      </w:tr>
    </w:tbl>
    <w:p>
      <w:pPr>
        <w:pStyle w:val="3"/>
        <w:keepNext w:val="0"/>
        <w:keepLines w:val="0"/>
        <w:spacing w:before="0" w:after="0" w:line="360" w:lineRule="auto"/>
        <w:rPr>
          <w:rFonts w:ascii="仿宋" w:hAnsi="仿宋" w:eastAsia="仿宋" w:cs="华文仿宋"/>
          <w:kern w:val="0"/>
        </w:rPr>
      </w:pPr>
      <w:r>
        <w:rPr>
          <w:rFonts w:hint="eastAsia" w:ascii="仿宋" w:hAnsi="仿宋" w:eastAsia="仿宋" w:cs="华文仿宋"/>
          <w:kern w:val="0"/>
        </w:rPr>
        <w:t>八、结业及考核</w:t>
      </w:r>
      <w:bookmarkStart w:id="0" w:name="_GoBack"/>
      <w:bookmarkEnd w:id="0"/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b/>
          <w:bCs/>
          <w:sz w:val="32"/>
          <w:szCs w:val="32"/>
        </w:rPr>
      </w:pPr>
      <w:r>
        <w:rPr>
          <w:rFonts w:ascii="仿宋" w:hAnsi="仿宋" w:eastAsia="仿宋" w:cs="华文仿宋"/>
          <w:sz w:val="32"/>
          <w:szCs w:val="32"/>
        </w:rPr>
        <w:t>完成全部课程学习，</w:t>
      </w:r>
      <w:r>
        <w:rPr>
          <w:rFonts w:ascii="仿宋" w:hAnsi="仿宋" w:eastAsia="仿宋" w:cs="华文仿宋"/>
          <w:sz w:val="32"/>
          <w:szCs w:val="32"/>
          <w:lang w:val="en-US"/>
        </w:rPr>
        <w:t>学员可获得</w:t>
      </w:r>
      <w:r>
        <w:rPr>
          <w:rFonts w:ascii="仿宋" w:hAnsi="仿宋" w:eastAsia="仿宋" w:cs="华文仿宋"/>
          <w:sz w:val="32"/>
          <w:szCs w:val="32"/>
        </w:rPr>
        <w:t>北京国家会计学院</w:t>
      </w:r>
      <w:r>
        <w:rPr>
          <w:rFonts w:ascii="仿宋" w:hAnsi="仿宋" w:eastAsia="仿宋" w:cs="华文仿宋"/>
          <w:sz w:val="32"/>
          <w:szCs w:val="32"/>
          <w:lang w:val="en-US"/>
        </w:rPr>
        <w:t>颁发的研修班</w:t>
      </w:r>
      <w:r>
        <w:rPr>
          <w:rFonts w:ascii="仿宋" w:hAnsi="仿宋" w:eastAsia="仿宋" w:cs="华文仿宋"/>
          <w:sz w:val="32"/>
          <w:szCs w:val="32"/>
        </w:rPr>
        <w:t>结业证书（</w:t>
      </w:r>
      <w:r>
        <w:rPr>
          <w:rFonts w:ascii="仿宋" w:hAnsi="仿宋" w:eastAsia="仿宋" w:cs="华文仿宋"/>
          <w:sz w:val="32"/>
          <w:szCs w:val="32"/>
          <w:lang w:val="en-US"/>
        </w:rPr>
        <w:t>电子版</w:t>
      </w:r>
      <w:r>
        <w:rPr>
          <w:rFonts w:ascii="仿宋" w:hAnsi="仿宋" w:eastAsia="仿宋" w:cs="华文仿宋"/>
          <w:sz w:val="32"/>
          <w:szCs w:val="32"/>
        </w:rPr>
        <w:t>）。</w:t>
      </w:r>
    </w:p>
    <w:p>
      <w:pPr>
        <w:pStyle w:val="3"/>
        <w:keepNext w:val="0"/>
        <w:keepLines w:val="0"/>
        <w:spacing w:before="0" w:after="0" w:line="360" w:lineRule="auto"/>
        <w:rPr>
          <w:rFonts w:ascii="仿宋" w:hAnsi="仿宋" w:eastAsia="仿宋" w:cs="华文仿宋"/>
          <w:kern w:val="0"/>
        </w:rPr>
      </w:pPr>
      <w:r>
        <w:rPr>
          <w:rFonts w:hint="eastAsia" w:ascii="仿宋" w:hAnsi="仿宋" w:eastAsia="仿宋" w:cs="华文仿宋"/>
          <w:kern w:val="0"/>
        </w:rPr>
        <w:t>九、收费标准和</w:t>
      </w:r>
      <w:r>
        <w:rPr>
          <w:rFonts w:ascii="仿宋" w:hAnsi="仿宋" w:eastAsia="仿宋" w:cs="华文仿宋"/>
          <w:kern w:val="0"/>
        </w:rPr>
        <w:t>缴费方式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  <w:lang w:val="en-US"/>
        </w:rPr>
      </w:pPr>
      <w:r>
        <w:rPr>
          <w:rFonts w:ascii="仿宋" w:hAnsi="仿宋" w:eastAsia="仿宋" w:cs="华文仿宋"/>
          <w:sz w:val="32"/>
          <w:szCs w:val="32"/>
          <w:lang w:val="en-US"/>
        </w:rPr>
        <w:t>1.收费标准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  <w:lang w:val="en-US"/>
        </w:rPr>
      </w:pPr>
      <w:r>
        <w:rPr>
          <w:rFonts w:ascii="仿宋" w:hAnsi="仿宋" w:eastAsia="仿宋" w:cs="华文仿宋"/>
          <w:sz w:val="32"/>
          <w:szCs w:val="32"/>
        </w:rPr>
        <w:t>培训费：人民币</w:t>
      </w:r>
      <w:r>
        <w:rPr>
          <w:rFonts w:hint="default" w:ascii="仿宋" w:hAnsi="仿宋" w:eastAsia="仿宋" w:cs="华文仿宋"/>
          <w:sz w:val="32"/>
          <w:szCs w:val="32"/>
          <w:lang w:val="en-US"/>
        </w:rPr>
        <w:t>480</w:t>
      </w:r>
      <w:r>
        <w:rPr>
          <w:rFonts w:ascii="仿宋" w:hAnsi="仿宋" w:eastAsia="仿宋" w:cs="华文仿宋"/>
          <w:sz w:val="32"/>
          <w:szCs w:val="32"/>
          <w:lang w:val="en-US"/>
        </w:rPr>
        <w:t>0</w:t>
      </w:r>
      <w:r>
        <w:rPr>
          <w:rFonts w:ascii="仿宋" w:hAnsi="仿宋" w:eastAsia="仿宋" w:cs="华文仿宋"/>
          <w:sz w:val="32"/>
          <w:szCs w:val="32"/>
        </w:rPr>
        <w:t>元/人</w:t>
      </w:r>
      <w:r>
        <w:rPr>
          <w:rFonts w:ascii="仿宋" w:hAnsi="仿宋" w:eastAsia="仿宋" w:cs="华文仿宋"/>
          <w:sz w:val="32"/>
          <w:szCs w:val="32"/>
          <w:lang w:val="en-US"/>
        </w:rPr>
        <w:t>（不含食宿）。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  <w:lang w:val="en-US"/>
        </w:rPr>
      </w:pPr>
      <w:r>
        <w:rPr>
          <w:rFonts w:ascii="仿宋" w:hAnsi="仿宋" w:eastAsia="仿宋" w:cs="华文仿宋"/>
          <w:sz w:val="32"/>
          <w:szCs w:val="32"/>
          <w:lang w:val="en-US"/>
        </w:rPr>
        <w:t>食宿费：住宿房型、食宿标准以及支付方式详见开课通知。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  <w:lang w:val="en-US"/>
        </w:rPr>
      </w:pPr>
      <w:r>
        <w:rPr>
          <w:rFonts w:ascii="仿宋" w:hAnsi="仿宋" w:eastAsia="仿宋" w:cs="华文仿宋"/>
          <w:sz w:val="32"/>
          <w:szCs w:val="32"/>
          <w:lang w:val="en-US"/>
        </w:rPr>
        <w:t>2.缴费方式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  <w:lang w:val="en-US"/>
        </w:rPr>
      </w:pPr>
      <w:r>
        <w:rPr>
          <w:rFonts w:ascii="仿宋" w:hAnsi="仿宋" w:eastAsia="仿宋" w:cs="华文仿宋"/>
          <w:sz w:val="32"/>
          <w:szCs w:val="32"/>
          <w:lang w:val="en-US"/>
        </w:rPr>
        <w:t>学员报到时可现场刷储蓄卡、信用卡或者通过微信扫码、银行汇款等方式支付培训费。扫码支付可立即开具电子发票。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  <w:lang w:val="en-US"/>
        </w:rPr>
      </w:pPr>
      <w:r>
        <w:rPr>
          <w:rFonts w:ascii="仿宋" w:hAnsi="仿宋" w:eastAsia="仿宋" w:cs="华文仿宋"/>
          <w:sz w:val="32"/>
          <w:szCs w:val="32"/>
          <w:lang w:val="en-US"/>
        </w:rPr>
        <w:t>汇款信息如下：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</w:rPr>
      </w:pPr>
      <w:r>
        <w:rPr>
          <w:rFonts w:ascii="仿宋" w:hAnsi="仿宋" w:eastAsia="仿宋" w:cs="华文仿宋"/>
          <w:sz w:val="32"/>
          <w:szCs w:val="32"/>
        </w:rPr>
        <w:t>单位名称：北京国家会计学院</w:t>
      </w:r>
    </w:p>
    <w:p>
      <w:pPr>
        <w:pStyle w:val="14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</w:rPr>
      </w:pPr>
      <w:r>
        <w:rPr>
          <w:rFonts w:ascii="仿宋" w:hAnsi="仿宋" w:eastAsia="仿宋" w:cs="华文仿宋"/>
          <w:sz w:val="32"/>
          <w:szCs w:val="32"/>
        </w:rPr>
        <w:t>汇款账号：1100 1020 1000 5603 0985</w:t>
      </w:r>
    </w:p>
    <w:p>
      <w:pPr>
        <w:pStyle w:val="14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0" w:firstLineChars="200"/>
        <w:jc w:val="both"/>
        <w:rPr>
          <w:rFonts w:hint="default" w:ascii="仿宋" w:hAnsi="仿宋" w:eastAsia="仿宋" w:cs="华文仿宋"/>
          <w:sz w:val="32"/>
          <w:szCs w:val="32"/>
        </w:rPr>
      </w:pPr>
      <w:r>
        <w:rPr>
          <w:rFonts w:ascii="仿宋" w:hAnsi="仿宋" w:eastAsia="仿宋" w:cs="华文仿宋"/>
          <w:sz w:val="32"/>
          <w:szCs w:val="32"/>
        </w:rPr>
        <w:t>开户行：中国建设银行北京天竺支行（201）</w:t>
      </w:r>
    </w:p>
    <w:p>
      <w:pPr>
        <w:pStyle w:val="14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spacing w:before="0" w:line="360" w:lineRule="auto"/>
        <w:ind w:firstLine="643" w:firstLineChars="200"/>
        <w:jc w:val="both"/>
        <w:rPr>
          <w:rFonts w:hint="default" w:ascii="仿宋" w:hAnsi="仿宋" w:eastAsia="仿宋" w:cs="华文仿宋"/>
          <w:sz w:val="32"/>
          <w:szCs w:val="32"/>
          <w:lang w:val="en-US"/>
        </w:rPr>
      </w:pPr>
      <w:r>
        <w:rPr>
          <w:rFonts w:hint="default" w:ascii="仿宋" w:hAnsi="仿宋" w:eastAsia="仿宋" w:cs="华文仿宋"/>
          <w:b/>
          <w:bCs/>
          <w:sz w:val="32"/>
          <w:szCs w:val="32"/>
          <w:lang w:val="en-US"/>
        </w:rPr>
        <w:t>特别提示：</w:t>
      </w:r>
      <w:r>
        <w:rPr>
          <w:rFonts w:ascii="仿宋" w:hAnsi="仿宋" w:eastAsia="仿宋" w:cs="华文仿宋"/>
          <w:sz w:val="32"/>
          <w:szCs w:val="32"/>
          <w:lang w:val="en-US"/>
        </w:rPr>
        <w:t>培训班如确定开班，学院将在开班前一周给学员发送《开课通知》。</w:t>
      </w:r>
      <w:r>
        <w:rPr>
          <w:rFonts w:hint="default" w:ascii="仿宋" w:hAnsi="仿宋" w:eastAsia="仿宋" w:cs="华文仿宋"/>
          <w:sz w:val="32"/>
          <w:szCs w:val="32"/>
          <w:lang w:val="en-US"/>
        </w:rPr>
        <w:t>如因报名人数</w:t>
      </w:r>
      <w:r>
        <w:rPr>
          <w:rFonts w:ascii="仿宋" w:hAnsi="仿宋" w:eastAsia="仿宋" w:cs="华文仿宋"/>
          <w:sz w:val="32"/>
          <w:szCs w:val="32"/>
          <w:lang w:val="en-US"/>
        </w:rPr>
        <w:t>低于</w:t>
      </w:r>
      <w:r>
        <w:rPr>
          <w:rFonts w:hint="default" w:ascii="仿宋" w:hAnsi="仿宋" w:eastAsia="仿宋" w:cs="华文仿宋"/>
          <w:sz w:val="32"/>
          <w:szCs w:val="32"/>
          <w:lang w:val="en-US"/>
        </w:rPr>
        <w:t>开班人数要求，</w:t>
      </w:r>
      <w:r>
        <w:rPr>
          <w:rFonts w:ascii="仿宋" w:hAnsi="仿宋" w:eastAsia="仿宋" w:cs="华文仿宋"/>
          <w:sz w:val="32"/>
          <w:szCs w:val="32"/>
          <w:lang w:val="en-US"/>
        </w:rPr>
        <w:t>学院</w:t>
      </w:r>
      <w:r>
        <w:rPr>
          <w:rFonts w:hint="default" w:ascii="仿宋" w:hAnsi="仿宋" w:eastAsia="仿宋" w:cs="华文仿宋"/>
          <w:sz w:val="32"/>
          <w:szCs w:val="32"/>
          <w:lang w:val="en-US"/>
        </w:rPr>
        <w:t>有权取消该班</w:t>
      </w:r>
      <w:r>
        <w:rPr>
          <w:rFonts w:ascii="仿宋" w:hAnsi="仿宋" w:eastAsia="仿宋" w:cs="华文仿宋"/>
          <w:sz w:val="32"/>
          <w:szCs w:val="32"/>
          <w:lang w:val="en-US"/>
        </w:rPr>
        <w:t>，</w:t>
      </w:r>
      <w:r>
        <w:rPr>
          <w:rFonts w:hint="default" w:ascii="仿宋" w:hAnsi="仿宋" w:eastAsia="仿宋" w:cs="华文仿宋"/>
          <w:sz w:val="32"/>
          <w:szCs w:val="32"/>
          <w:lang w:val="en-US"/>
        </w:rPr>
        <w:t>对学员已缴纳的费用予以全额退还，但不承担任何赔偿。对任何因信赖该班可以如期举行而导致的任何直接、间接损失，包括但不限于差旅费损失、误工费损失等，</w:t>
      </w:r>
      <w:r>
        <w:rPr>
          <w:rFonts w:ascii="仿宋" w:hAnsi="仿宋" w:eastAsia="仿宋" w:cs="华文仿宋"/>
          <w:sz w:val="32"/>
          <w:szCs w:val="32"/>
          <w:lang w:val="en-US"/>
        </w:rPr>
        <w:t>学院</w:t>
      </w:r>
      <w:r>
        <w:rPr>
          <w:rFonts w:hint="default" w:ascii="仿宋" w:hAnsi="仿宋" w:eastAsia="仿宋" w:cs="华文仿宋"/>
          <w:sz w:val="32"/>
          <w:szCs w:val="32"/>
          <w:lang w:val="en-US"/>
        </w:rPr>
        <w:t>均不承担法律责任。</w:t>
      </w:r>
    </w:p>
    <w:p>
      <w:pPr>
        <w:widowControl/>
        <w:shd w:val="clear" w:color="auto" w:fill="FFFFFF"/>
        <w:spacing w:line="360" w:lineRule="auto"/>
        <w:rPr>
          <w:rFonts w:ascii="仿宋" w:hAnsi="仿宋" w:eastAsia="仿宋" w:cs="华文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b/>
          <w:bCs/>
          <w:kern w:val="0"/>
          <w:sz w:val="32"/>
          <w:szCs w:val="32"/>
        </w:rPr>
        <w:t>十、联系我们</w:t>
      </w:r>
    </w:p>
    <w:p>
      <w:pPr>
        <w:widowControl/>
        <w:shd w:val="clear" w:color="auto" w:fill="FFFFFF"/>
        <w:spacing w:line="360" w:lineRule="auto"/>
        <w:ind w:firstLine="660" w:firstLineChars="200"/>
        <w:rPr>
          <w:rFonts w:ascii="仿宋" w:hAnsi="仿宋" w:eastAsia="仿宋" w:cs="华文仿宋"/>
          <w:spacing w:val="5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spacing w:val="5"/>
          <w:kern w:val="0"/>
          <w:sz w:val="32"/>
          <w:szCs w:val="32"/>
        </w:rPr>
        <w:t>联系人：邱老师</w:t>
      </w:r>
    </w:p>
    <w:p>
      <w:pPr>
        <w:widowControl/>
        <w:shd w:val="clear" w:color="auto" w:fill="FFFFFF"/>
        <w:spacing w:line="360" w:lineRule="auto"/>
        <w:ind w:firstLine="660" w:firstLineChars="200"/>
        <w:rPr>
          <w:rFonts w:ascii="仿宋" w:hAnsi="仿宋" w:eastAsia="仿宋" w:cs="华文仿宋"/>
          <w:spacing w:val="5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spacing w:val="5"/>
          <w:kern w:val="0"/>
          <w:sz w:val="32"/>
          <w:szCs w:val="32"/>
        </w:rPr>
        <w:t>电话：010-645050</w:t>
      </w:r>
      <w:r>
        <w:rPr>
          <w:rFonts w:ascii="仿宋" w:hAnsi="仿宋" w:eastAsia="仿宋" w:cs="华文仿宋"/>
          <w:spacing w:val="5"/>
          <w:kern w:val="0"/>
          <w:sz w:val="32"/>
          <w:szCs w:val="32"/>
        </w:rPr>
        <w:t>46</w:t>
      </w:r>
    </w:p>
    <w:p>
      <w:pPr>
        <w:widowControl/>
        <w:shd w:val="clear" w:color="auto" w:fill="FFFFFF"/>
        <w:spacing w:line="360" w:lineRule="auto"/>
        <w:ind w:firstLine="660" w:firstLineChars="200"/>
        <w:rPr>
          <w:rFonts w:ascii="仿宋" w:hAnsi="仿宋" w:eastAsia="仿宋" w:cs="华文仿宋"/>
          <w:spacing w:val="5"/>
          <w:kern w:val="0"/>
          <w:sz w:val="32"/>
          <w:szCs w:val="32"/>
        </w:rPr>
      </w:pPr>
      <w:r>
        <w:rPr>
          <w:rFonts w:hint="eastAsia" w:ascii="仿宋" w:hAnsi="仿宋" w:eastAsia="仿宋" w:cs="华文仿宋"/>
          <w:spacing w:val="5"/>
          <w:kern w:val="0"/>
          <w:sz w:val="32"/>
          <w:szCs w:val="32"/>
        </w:rPr>
        <w:t>邮箱：</w:t>
      </w:r>
      <w:r>
        <w:rPr>
          <w:rFonts w:ascii="仿宋" w:hAnsi="仿宋" w:eastAsia="仿宋" w:cs="华文仿宋"/>
          <w:spacing w:val="5"/>
          <w:kern w:val="0"/>
          <w:sz w:val="32"/>
          <w:szCs w:val="32"/>
        </w:rPr>
        <w:t>qiucc</w:t>
      </w:r>
      <w:r>
        <w:rPr>
          <w:rFonts w:hint="eastAsia" w:ascii="仿宋" w:hAnsi="仿宋" w:eastAsia="仿宋" w:cs="华文仿宋"/>
          <w:spacing w:val="5"/>
          <w:kern w:val="0"/>
          <w:sz w:val="32"/>
          <w:szCs w:val="32"/>
        </w:rPr>
        <w:t>@</w:t>
      </w:r>
      <w:r>
        <w:rPr>
          <w:rFonts w:ascii="仿宋" w:hAnsi="仿宋" w:eastAsia="仿宋" w:cs="华文仿宋"/>
          <w:spacing w:val="5"/>
          <w:kern w:val="0"/>
          <w:sz w:val="32"/>
          <w:szCs w:val="32"/>
        </w:rPr>
        <w:t>mail.</w:t>
      </w:r>
      <w:r>
        <w:rPr>
          <w:rFonts w:hint="eastAsia" w:ascii="仿宋" w:hAnsi="仿宋" w:eastAsia="仿宋" w:cs="华文仿宋"/>
          <w:spacing w:val="5"/>
          <w:kern w:val="0"/>
          <w:sz w:val="32"/>
          <w:szCs w:val="32"/>
        </w:rPr>
        <w:t>nai.</w:t>
      </w:r>
      <w:r>
        <w:rPr>
          <w:rFonts w:ascii="仿宋" w:hAnsi="仿宋" w:eastAsia="仿宋" w:cs="华文仿宋"/>
          <w:spacing w:val="5"/>
          <w:kern w:val="0"/>
          <w:sz w:val="32"/>
          <w:szCs w:val="32"/>
        </w:rPr>
        <w:t>edu.cn</w:t>
      </w:r>
    </w:p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1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0O3bcsAgAAV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vQ7dty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k3NWU3ZWNiMzgzNzAwZWVhYzBhOWY3ZTkwYzQyMjUifQ=="/>
  </w:docVars>
  <w:rsids>
    <w:rsidRoot w:val="1B927997"/>
    <w:rsid w:val="00060098"/>
    <w:rsid w:val="00093CFB"/>
    <w:rsid w:val="000A7EA1"/>
    <w:rsid w:val="000B0F58"/>
    <w:rsid w:val="0012146F"/>
    <w:rsid w:val="001457F1"/>
    <w:rsid w:val="00181B3D"/>
    <w:rsid w:val="001E04D7"/>
    <w:rsid w:val="002B77D4"/>
    <w:rsid w:val="002F6D8C"/>
    <w:rsid w:val="00364F0F"/>
    <w:rsid w:val="003A686E"/>
    <w:rsid w:val="003F5246"/>
    <w:rsid w:val="0040799D"/>
    <w:rsid w:val="00455E39"/>
    <w:rsid w:val="004C34B6"/>
    <w:rsid w:val="005F1FFB"/>
    <w:rsid w:val="00670543"/>
    <w:rsid w:val="00694325"/>
    <w:rsid w:val="00745072"/>
    <w:rsid w:val="007D73D4"/>
    <w:rsid w:val="00803DE5"/>
    <w:rsid w:val="0088010D"/>
    <w:rsid w:val="0093478C"/>
    <w:rsid w:val="009520CE"/>
    <w:rsid w:val="009C71E0"/>
    <w:rsid w:val="00A02F78"/>
    <w:rsid w:val="00A15FB9"/>
    <w:rsid w:val="00A31BB2"/>
    <w:rsid w:val="00A74C9A"/>
    <w:rsid w:val="00A95700"/>
    <w:rsid w:val="00B21E81"/>
    <w:rsid w:val="00BF5104"/>
    <w:rsid w:val="00E26172"/>
    <w:rsid w:val="00E40320"/>
    <w:rsid w:val="00E424E3"/>
    <w:rsid w:val="00ED116A"/>
    <w:rsid w:val="00F46B99"/>
    <w:rsid w:val="00F563F5"/>
    <w:rsid w:val="00F57F8F"/>
    <w:rsid w:val="00F64CCC"/>
    <w:rsid w:val="01590D50"/>
    <w:rsid w:val="03A4089B"/>
    <w:rsid w:val="082B21CD"/>
    <w:rsid w:val="0A745D33"/>
    <w:rsid w:val="0EE50085"/>
    <w:rsid w:val="14926D30"/>
    <w:rsid w:val="154A7127"/>
    <w:rsid w:val="159F6791"/>
    <w:rsid w:val="1B8C702D"/>
    <w:rsid w:val="1B927997"/>
    <w:rsid w:val="21752C6A"/>
    <w:rsid w:val="2D5E3FF4"/>
    <w:rsid w:val="2DEC28E0"/>
    <w:rsid w:val="349165D2"/>
    <w:rsid w:val="34DC5032"/>
    <w:rsid w:val="36B12BB1"/>
    <w:rsid w:val="3F8A6E6E"/>
    <w:rsid w:val="41E73E41"/>
    <w:rsid w:val="43255E5C"/>
    <w:rsid w:val="439B60C9"/>
    <w:rsid w:val="4DFD03C3"/>
    <w:rsid w:val="521B5645"/>
    <w:rsid w:val="52D40D60"/>
    <w:rsid w:val="5364260C"/>
    <w:rsid w:val="559162EC"/>
    <w:rsid w:val="583801FC"/>
    <w:rsid w:val="62EF46EC"/>
    <w:rsid w:val="64AC4CC1"/>
    <w:rsid w:val="66B108E6"/>
    <w:rsid w:val="6A9E69FE"/>
    <w:rsid w:val="6EDA5BDB"/>
    <w:rsid w:val="709905BC"/>
    <w:rsid w:val="72F3061A"/>
    <w:rsid w:val="76442A34"/>
    <w:rsid w:val="76764E51"/>
    <w:rsid w:val="792A2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paragraph" w:styleId="3">
    <w:name w:val="heading 3"/>
    <w:basedOn w:val="1"/>
    <w:next w:val="1"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bCs/>
      <w:kern w:val="0"/>
      <w:sz w:val="24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6"/>
    <w:qFormat/>
    <w:uiPriority w:val="0"/>
    <w:pPr>
      <w:jc w:val="left"/>
    </w:p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9">
    <w:name w:val="annotation subject"/>
    <w:basedOn w:val="5"/>
    <w:next w:val="5"/>
    <w:link w:val="17"/>
    <w:qFormat/>
    <w:uiPriority w:val="0"/>
    <w:rPr>
      <w:b/>
      <w:bCs/>
    </w:rPr>
  </w:style>
  <w:style w:type="character" w:styleId="12">
    <w:name w:val="Strong"/>
    <w:basedOn w:val="11"/>
    <w:qFormat/>
    <w:uiPriority w:val="22"/>
    <w:rPr>
      <w:b/>
    </w:rPr>
  </w:style>
  <w:style w:type="character" w:styleId="13">
    <w:name w:val="annotation reference"/>
    <w:basedOn w:val="11"/>
    <w:qFormat/>
    <w:uiPriority w:val="0"/>
    <w:rPr>
      <w:sz w:val="21"/>
      <w:szCs w:val="21"/>
    </w:rPr>
  </w:style>
  <w:style w:type="paragraph" w:customStyle="1" w:styleId="14">
    <w:name w:val="默认"/>
    <w:qFormat/>
    <w:uiPriority w:val="0"/>
    <w:pPr>
      <w:spacing w:before="160"/>
    </w:pPr>
    <w:rPr>
      <w:rFonts w:hint="eastAsia" w:ascii="Arial Unicode MS" w:hAnsi="Arial Unicode MS" w:eastAsia="Helvetica Neue" w:cs="Arial Unicode MS"/>
      <w:color w:val="000000"/>
      <w:sz w:val="24"/>
      <w:szCs w:val="24"/>
      <w:lang w:val="zh-CN" w:eastAsia="zh-CN" w:bidi="ar-SA"/>
    </w:rPr>
  </w:style>
  <w:style w:type="paragraph" w:customStyle="1" w:styleId="15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6">
    <w:name w:val="批注文字 字符"/>
    <w:basedOn w:val="11"/>
    <w:link w:val="5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7">
    <w:name w:val="批注主题 字符"/>
    <w:basedOn w:val="16"/>
    <w:link w:val="9"/>
    <w:qFormat/>
    <w:uiPriority w:val="0"/>
    <w:rPr>
      <w:rFonts w:asciiTheme="minorHAnsi" w:hAnsiTheme="minorHAnsi" w:eastAsiaTheme="minorEastAsia" w:cstheme="minorBidi"/>
      <w:b/>
      <w:bCs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323</Words>
  <Characters>1844</Characters>
  <Lines>15</Lines>
  <Paragraphs>4</Paragraphs>
  <TotalTime>151</TotalTime>
  <ScaleCrop>false</ScaleCrop>
  <LinksUpToDate>false</LinksUpToDate>
  <CharactersWithSpaces>2163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2023-03-09T02:58:00Z</dcterms:created>
  <dc:creator>李青</dc:creator>
  <cp:lastModifiedBy>姜xiaomao</cp:lastModifiedBy>
  <cp:lastPrinted>2023-03-13T08:17:00Z</cp:lastPrinted>
  <dcterms:modified xsi:type="dcterms:W3CDTF">2023-04-20T06:40:28Z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  <property fmtid="{D5CDD505-2E9C-101B-9397-08002B2CF9AE}" pid="3" name="ICV">
    <vt:lpwstr>2EA997AB793B425486E46A6000F35648</vt:lpwstr>
  </property>
</Properties>
</file>