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60" w:lineRule="atLeast"/>
        <w:ind w:left="0" w:right="0"/>
        <w:jc w:val="center"/>
        <w:rPr>
          <w:rFonts w:hint="default" w:ascii="仿宋_GB2312" w:hAnsi="仿宋_GB2312" w:eastAsia="仿宋_GB2312" w:cs="仿宋_GB2312"/>
          <w:b/>
          <w:bCs/>
          <w:kern w:val="2"/>
          <w:sz w:val="36"/>
          <w:szCs w:val="36"/>
          <w:lang w:val="en-US" w:eastAsia="zh-CN" w:bidi="ar-SA"/>
        </w:rPr>
      </w:pPr>
      <w:r>
        <w:rPr>
          <w:rFonts w:hint="eastAsia" w:ascii="仿宋_GB2312" w:hAnsi="仿宋_GB2312" w:eastAsia="仿宋_GB2312" w:cs="仿宋_GB2312"/>
          <w:b/>
          <w:bCs/>
          <w:kern w:val="2"/>
          <w:sz w:val="36"/>
          <w:szCs w:val="36"/>
          <w:lang w:val="en-US" w:eastAsia="zh-CN" w:bidi="ar-SA"/>
        </w:rPr>
        <w:t>“</w:t>
      </w:r>
      <w:r>
        <w:rPr>
          <w:rFonts w:hint="default" w:ascii="仿宋_GB2312" w:hAnsi="仿宋_GB2312" w:eastAsia="仿宋_GB2312" w:cs="仿宋_GB2312"/>
          <w:b/>
          <w:bCs/>
          <w:kern w:val="2"/>
          <w:sz w:val="36"/>
          <w:szCs w:val="36"/>
          <w:lang w:val="en-US" w:eastAsia="zh-CN" w:bidi="ar-SA"/>
        </w:rPr>
        <w:t>保险合同准则解读及实操应用</w:t>
      </w:r>
      <w:r>
        <w:rPr>
          <w:rFonts w:hint="eastAsia" w:ascii="仿宋_GB2312" w:hAnsi="仿宋_GB2312" w:eastAsia="仿宋_GB2312" w:cs="仿宋_GB2312"/>
          <w:b/>
          <w:bCs/>
          <w:kern w:val="2"/>
          <w:sz w:val="36"/>
          <w:szCs w:val="36"/>
          <w:lang w:val="en-US" w:eastAsia="zh-CN" w:bidi="ar-SA"/>
        </w:rPr>
        <w:t>”</w:t>
      </w:r>
      <w:r>
        <w:rPr>
          <w:rFonts w:hint="default" w:ascii="仿宋_GB2312" w:hAnsi="仿宋_GB2312" w:eastAsia="仿宋_GB2312" w:cs="仿宋_GB2312"/>
          <w:b/>
          <w:bCs/>
          <w:kern w:val="2"/>
          <w:sz w:val="36"/>
          <w:szCs w:val="36"/>
          <w:lang w:val="en-US" w:eastAsia="zh-CN" w:bidi="ar-SA"/>
        </w:rPr>
        <w:t>高级研修班</w:t>
      </w:r>
    </w:p>
    <w:p>
      <w:pPr>
        <w:pStyle w:val="2"/>
        <w:keepNext w:val="0"/>
        <w:keepLines w:val="0"/>
        <w:widowControl/>
        <w:suppressLineNumbers w:val="0"/>
        <w:spacing w:before="0" w:beforeAutospacing="0" w:after="0" w:afterAutospacing="0" w:line="360" w:lineRule="atLeast"/>
        <w:ind w:left="0" w:right="0"/>
        <w:jc w:val="center"/>
        <w:rPr>
          <w:color w:val="535455"/>
          <w:sz w:val="21"/>
          <w:szCs w:val="21"/>
        </w:rPr>
      </w:pPr>
      <w:r>
        <w:rPr>
          <w:rFonts w:hint="eastAsia" w:ascii="仿宋_GB2312" w:hAnsi="仿宋_GB2312" w:eastAsia="仿宋_GB2312" w:cs="仿宋_GB2312"/>
          <w:b/>
          <w:bCs/>
          <w:kern w:val="2"/>
          <w:sz w:val="36"/>
          <w:szCs w:val="36"/>
          <w:lang w:val="en-US" w:eastAsia="zh-CN" w:bidi="ar-SA"/>
        </w:rPr>
        <w:t>招生简</w:t>
      </w:r>
      <w:r>
        <w:rPr>
          <w:rFonts w:hint="eastAsia" w:ascii="仿宋_GB2312" w:hAnsi="仿宋_GB2312" w:eastAsia="仿宋_GB2312" w:cs="仿宋_GB2312"/>
          <w:b/>
          <w:bCs/>
          <w:sz w:val="36"/>
          <w:szCs w:val="36"/>
        </w:rPr>
        <w:t>章</w:t>
      </w:r>
    </w:p>
    <w:p>
      <w:pPr>
        <w:pStyle w:val="2"/>
        <w:keepNext w:val="0"/>
        <w:keepLines w:val="0"/>
        <w:widowControl/>
        <w:suppressLineNumbers w:val="0"/>
        <w:spacing w:before="210" w:beforeAutospacing="0" w:after="210" w:afterAutospacing="0"/>
        <w:ind w:left="0" w:right="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一、培训背景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国际会计准则理事会于2020年6月25日发布了IFRS 17“保险合同”修订稿以及一项针对IFRS 4的修订以使符合条件的保险公司仍旧能够同时实施IFRS 9和IFRS 17。这意味着“史上最复杂的会计准则”终于落地。2020年12月24日，财政部修订发布《企业会计准则第25号——保险合同》（落款日期为12月19日），为中国版IFRS 17准则；上市险企（包括A、H上市险企）自2023年1月1日起执行，其他险企自2026年1月1日起强制执行，允许险企提前执行。IFRS17在保险合同的确认、计量、报表披露等多方面进行了重大改进，也推动保险公司精算、财务、投资和IT的职责和关系发生重大改变。为了满足新的核算规则和大量、复杂的运算需求，全球很多保险公司都在寻找合适的解决方案。IFRS 17准则中具有颠覆性的要求的确给保险公司的精算财务人员在技术解读方面带来了极大的挑战，IFRS17究竟是怎么回事？会影响到哪里？要准备哪些？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与以往任何一个准则都不同的是，这次保险行业在IFRS17面前表现出来的迷茫、担忧、焦虑、恐慌是前所未有的。”银保监会财务会计部主任赵宇龙这样评价。基于IFRS17如何设计对应的会计政策、会计分录和会计科目都要求财务人员深入理解精算原理，对财务人员专业知识要求增强。随着对新保险合同准则研究的不断深入，行业逐步认识到，与准则的技术难度相比，准则落地过程中对于公司数据、系统、流程以及人力方面的影响更为重大而深远。在距离准则正式执行不到三年的有限时间内，公司管理层及相关技术人员如何进行准则实施的规划和落地，仍存在一定程度的挑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北京国家会计学院依靠自身培训优势与政策制定背景资源，继续推出《保险合同准则解读及实操应用》高级研修班。本课程从新保险合同准则的解读出发，详细阐述新保险合同准则修订的背景、修订的主要内容、对保险行业财务报表的影响、对保险行业产品战略以及日常运营的影响，并对新保险合同准则的主要变化的难点进行案例分析，帮助相关人员理解掌握新保险合同准则，从容应对新准则的调整以及应该技巧。</w:t>
      </w:r>
    </w:p>
    <w:p>
      <w:pPr>
        <w:bidi w:val="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二、培训收益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1.帮助学员深刻理解新保险合同准则修订的背景、修订的主要内容；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2.帮助学员了解新保险合同准则对保险行业财务报表、保险行业产品战略以及日常运营的影响；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3.帮助学员通过案例分析掌握新保险合同准则的主要变化的难点；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4.帮助学员详细了解与保险合同准则密切相关的投资端的新金融工具准则的实施，并通过分析新金融工具准则的实施对保险业投资端的影响，形成完整的保险也准则闭环教学。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5.同时，根据国外市场的实施经验，针对于新保险合同准则的落地实施提出相应的建议和思路，以供保险业高管参考。</w:t>
      </w:r>
    </w:p>
    <w:p>
      <w:pPr>
        <w:bidi w:val="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三、培训对象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1.执行保险准则的各类企业、保险业、以及保险公司下属资管等企业的财务总监、财务经理、财务主管等人员；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2.会计师事务所等各类中介机构的执业人员；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3.上市公司和各类评级机构的证券分析人员；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4.高校研究机构的教学科研人员。</w:t>
      </w:r>
    </w:p>
    <w:p>
      <w:pPr>
        <w:bidi w:val="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四、培训内容</w:t>
      </w:r>
    </w:p>
    <w:p>
      <w:pPr>
        <w:spacing w:line="360" w:lineRule="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（一）新保险准则（IFRS17）的修订背景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主要想解决如下问题：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1.不同国家保险公司的可比性问题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2.保险行业与其他行业的可比性问题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3.怎么能更好的反应保险业务本质</w:t>
      </w:r>
    </w:p>
    <w:p>
      <w:pPr>
        <w:spacing w:line="360" w:lineRule="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（二）新保险准则修订的主要内容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1.保险合同范围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2.保险合同确认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3.保险合同拆分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4.保险合同分组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5.准备金计量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6.履约现金流拆分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7.再保合同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8.报表列报</w:t>
      </w:r>
    </w:p>
    <w:p>
      <w:pPr>
        <w:spacing w:line="360" w:lineRule="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（三）新保险准则的修订对保险行业财务报表的影响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1.保费收入的变化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2.保险负债的变化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3.低质业务亏损在报表中的显性变化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4.营业收入的重新定义及变化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5.对公司利润表的影响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6.对利润表的影响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7.对公司资产负债表的影响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8.对保险行业核心财务指标以及监管指标的影响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9.对不同保险险种的影响</w:t>
      </w:r>
    </w:p>
    <w:p>
      <w:pPr>
        <w:spacing w:line="360" w:lineRule="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（四）新保险准则的修订对保险行业日常运营和战略的影响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1.产品及账户的管理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2.人力资源管理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3.财务管理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4.各部门与精算的协同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5.数据与系统的管理</w:t>
      </w:r>
    </w:p>
    <w:p>
      <w:pPr>
        <w:spacing w:line="360" w:lineRule="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（五）新保险准则实施的案例分析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1.保险合同初始确认的案例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2.保险合同通用模型后续计量的案例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3.混合保险合同拆分的案例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4.保险收入确认的案例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5.保费分配法的案例</w:t>
      </w:r>
    </w:p>
    <w:p>
      <w:pPr>
        <w:spacing w:line="360" w:lineRule="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（六）新保险准则落地的挑战及实施建议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1.采用软设计思维：概念验证、原型制造、沙盘推演</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2.有的放矢：“合规即安”还是“物尽其用”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3.他山采玉：利用偿付能力二代下的报表与IFRS17的关联</w:t>
      </w:r>
    </w:p>
    <w:p>
      <w:pPr>
        <w:spacing w:line="360" w:lineRule="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（七）与新保险准则密切相连的新金融工具准则（IFRS9）</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1.与保险密不可分的金融产品投资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2.新金融工具准则的主要变化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3.新金融工具准则的实施对保险行业的影响</w:t>
      </w:r>
    </w:p>
    <w:p>
      <w:pPr>
        <w:bidi w:val="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五、培训方式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帮助企业财务人员更快地了解课程资讯，更有效地掌握培训内容，本研修班以面授课堂为主，同时将免费推送给学员与本主题相关的精品录播课程，方便学员利用网络课堂提前预习、巩固相关专业知识，再结合面授课堂进一步强化、拓展。</w:t>
      </w:r>
    </w:p>
    <w:p>
      <w:pPr>
        <w:bidi w:val="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六、</w:t>
      </w:r>
      <w:r>
        <w:rPr>
          <w:rFonts w:hint="eastAsia" w:ascii="华文仿宋" w:hAnsi="华文仿宋" w:eastAsia="华文仿宋" w:cs="华文仿宋"/>
          <w:b/>
          <w:bCs/>
          <w:spacing w:val="5"/>
          <w:kern w:val="0"/>
          <w:sz w:val="32"/>
          <w:szCs w:val="32"/>
        </w:rPr>
        <w:t>培训师资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本课程由北京国家会计学院精心组织的专门师资团队授课。授课老师均具有深厚的理论功底及丰富的实践经验，包括北京国家会计学院教授、实务界资深专家、政策制定者等。具体师资以实际课表为准。</w:t>
      </w:r>
    </w:p>
    <w:p>
      <w:pPr>
        <w:bidi w:val="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七、</w:t>
      </w:r>
      <w:r>
        <w:rPr>
          <w:rFonts w:hint="eastAsia" w:ascii="华文仿宋" w:hAnsi="华文仿宋" w:eastAsia="华文仿宋" w:cs="华文仿宋"/>
          <w:b/>
          <w:bCs/>
          <w:spacing w:val="5"/>
          <w:kern w:val="0"/>
          <w:sz w:val="32"/>
          <w:szCs w:val="32"/>
        </w:rPr>
        <w:t>培训</w:t>
      </w:r>
      <w:r>
        <w:rPr>
          <w:rFonts w:hint="eastAsia" w:ascii="仿宋_GB2312" w:hAnsi="仿宋_GB2312" w:eastAsia="仿宋_GB2312" w:cs="仿宋_GB2312"/>
          <w:b/>
          <w:bCs/>
          <w:kern w:val="2"/>
          <w:sz w:val="32"/>
          <w:szCs w:val="32"/>
          <w:lang w:val="en-US" w:eastAsia="zh-CN" w:bidi="ar-SA"/>
        </w:rPr>
        <w:t>时间地点</w:t>
      </w:r>
    </w:p>
    <w:tbl>
      <w:tblPr>
        <w:tblStyle w:val="7"/>
        <w:tblW w:w="4997" w:type="pct"/>
        <w:tblInd w:w="0" w:type="dxa"/>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auto"/>
        <w:tblLayout w:type="autofit"/>
        <w:tblCellMar>
          <w:top w:w="0" w:type="dxa"/>
          <w:left w:w="0" w:type="dxa"/>
          <w:bottom w:w="0" w:type="dxa"/>
          <w:right w:w="0" w:type="dxa"/>
        </w:tblCellMar>
      </w:tblPr>
      <w:tblGrid>
        <w:gridCol w:w="1554"/>
        <w:gridCol w:w="1633"/>
        <w:gridCol w:w="1633"/>
        <w:gridCol w:w="1633"/>
        <w:gridCol w:w="1864"/>
      </w:tblGrid>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auto"/>
          <w:tblCellMar>
            <w:top w:w="0" w:type="dxa"/>
            <w:left w:w="0" w:type="dxa"/>
            <w:bottom w:w="0" w:type="dxa"/>
            <w:right w:w="0" w:type="dxa"/>
          </w:tblCellMar>
        </w:tblPrEx>
        <w:trPr>
          <w:trHeight w:val="270" w:hRule="atLeast"/>
        </w:trPr>
        <w:tc>
          <w:tcPr>
            <w:tcW w:w="93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sz w:val="28"/>
                <w:szCs w:val="28"/>
              </w:rPr>
            </w:pPr>
            <w:r>
              <w:rPr>
                <w:rFonts w:hint="eastAsia" w:ascii="仿宋" w:hAnsi="仿宋" w:eastAsia="仿宋" w:cs="仿宋"/>
                <w:kern w:val="0"/>
                <w:sz w:val="28"/>
                <w:szCs w:val="28"/>
                <w:lang w:val="en-US" w:eastAsia="zh-CN" w:bidi="ar"/>
              </w:rPr>
              <w:t>期数</w:t>
            </w:r>
          </w:p>
        </w:tc>
        <w:tc>
          <w:tcPr>
            <w:tcW w:w="98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sz w:val="28"/>
                <w:szCs w:val="28"/>
              </w:rPr>
            </w:pPr>
            <w:r>
              <w:rPr>
                <w:rFonts w:hint="eastAsia" w:ascii="仿宋" w:hAnsi="仿宋" w:eastAsia="仿宋" w:cs="仿宋"/>
                <w:kern w:val="0"/>
                <w:sz w:val="28"/>
                <w:szCs w:val="28"/>
                <w:lang w:val="en-US" w:eastAsia="zh-CN" w:bidi="ar"/>
              </w:rPr>
              <w:t>报到时间</w:t>
            </w:r>
          </w:p>
        </w:tc>
        <w:tc>
          <w:tcPr>
            <w:tcW w:w="98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sz w:val="28"/>
                <w:szCs w:val="28"/>
              </w:rPr>
            </w:pPr>
            <w:r>
              <w:rPr>
                <w:rFonts w:hint="eastAsia" w:ascii="仿宋" w:hAnsi="仿宋" w:eastAsia="仿宋" w:cs="仿宋"/>
                <w:kern w:val="0"/>
                <w:sz w:val="28"/>
                <w:szCs w:val="28"/>
                <w:lang w:val="en-US" w:eastAsia="zh-CN" w:bidi="ar"/>
              </w:rPr>
              <w:t>开始时间</w:t>
            </w:r>
          </w:p>
        </w:tc>
        <w:tc>
          <w:tcPr>
            <w:tcW w:w="98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sz w:val="28"/>
                <w:szCs w:val="28"/>
              </w:rPr>
            </w:pPr>
            <w:r>
              <w:rPr>
                <w:rFonts w:hint="eastAsia" w:ascii="仿宋" w:hAnsi="仿宋" w:eastAsia="仿宋" w:cs="仿宋"/>
                <w:kern w:val="0"/>
                <w:sz w:val="28"/>
                <w:szCs w:val="28"/>
                <w:lang w:val="en-US" w:eastAsia="zh-CN" w:bidi="ar"/>
              </w:rPr>
              <w:t>结束时间</w:t>
            </w:r>
          </w:p>
        </w:tc>
        <w:tc>
          <w:tcPr>
            <w:tcW w:w="112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sz w:val="28"/>
                <w:szCs w:val="28"/>
              </w:rPr>
            </w:pPr>
            <w:r>
              <w:rPr>
                <w:rFonts w:hint="eastAsia" w:ascii="仿宋" w:hAnsi="仿宋" w:eastAsia="仿宋" w:cs="仿宋"/>
                <w:kern w:val="0"/>
                <w:sz w:val="28"/>
                <w:szCs w:val="28"/>
                <w:lang w:val="en-US" w:eastAsia="zh-CN" w:bidi="ar"/>
              </w:rPr>
              <w:t>培训地点</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auto"/>
          <w:tblCellMar>
            <w:top w:w="0" w:type="dxa"/>
            <w:left w:w="0" w:type="dxa"/>
            <w:bottom w:w="0" w:type="dxa"/>
            <w:right w:w="0" w:type="dxa"/>
          </w:tblCellMar>
        </w:tblPrEx>
        <w:trPr>
          <w:trHeight w:val="270" w:hRule="atLeast"/>
        </w:trPr>
        <w:tc>
          <w:tcPr>
            <w:tcW w:w="93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sz w:val="28"/>
                <w:szCs w:val="28"/>
              </w:rPr>
            </w:pPr>
            <w:r>
              <w:rPr>
                <w:rFonts w:hint="eastAsia" w:ascii="仿宋" w:hAnsi="仿宋" w:eastAsia="仿宋" w:cs="仿宋"/>
                <w:kern w:val="0"/>
                <w:sz w:val="28"/>
                <w:szCs w:val="28"/>
                <w:lang w:val="en-US" w:eastAsia="zh-CN" w:bidi="ar"/>
              </w:rPr>
              <w:t>总第10期</w:t>
            </w:r>
          </w:p>
        </w:tc>
        <w:tc>
          <w:tcPr>
            <w:tcW w:w="98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sz w:val="28"/>
                <w:szCs w:val="28"/>
              </w:rPr>
            </w:pPr>
            <w:r>
              <w:rPr>
                <w:rFonts w:hint="eastAsia" w:ascii="仿宋" w:hAnsi="仿宋" w:eastAsia="仿宋" w:cs="仿宋"/>
                <w:kern w:val="0"/>
                <w:sz w:val="28"/>
                <w:szCs w:val="28"/>
                <w:lang w:val="en-US" w:eastAsia="zh-CN" w:bidi="ar"/>
              </w:rPr>
              <w:t>4月27日</w:t>
            </w:r>
          </w:p>
        </w:tc>
        <w:tc>
          <w:tcPr>
            <w:tcW w:w="98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sz w:val="28"/>
                <w:szCs w:val="28"/>
              </w:rPr>
            </w:pPr>
            <w:r>
              <w:rPr>
                <w:rFonts w:hint="eastAsia" w:ascii="仿宋" w:hAnsi="仿宋" w:eastAsia="仿宋" w:cs="仿宋"/>
                <w:kern w:val="0"/>
                <w:sz w:val="28"/>
                <w:szCs w:val="28"/>
                <w:lang w:val="en-US" w:eastAsia="zh-CN" w:bidi="ar"/>
              </w:rPr>
              <w:t>4月28日</w:t>
            </w:r>
          </w:p>
        </w:tc>
        <w:tc>
          <w:tcPr>
            <w:tcW w:w="98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sz w:val="28"/>
                <w:szCs w:val="28"/>
              </w:rPr>
            </w:pPr>
            <w:r>
              <w:rPr>
                <w:rFonts w:hint="eastAsia" w:ascii="仿宋" w:hAnsi="仿宋" w:eastAsia="仿宋" w:cs="仿宋"/>
                <w:kern w:val="0"/>
                <w:sz w:val="28"/>
                <w:szCs w:val="28"/>
                <w:lang w:val="en-US" w:eastAsia="zh-CN" w:bidi="ar"/>
              </w:rPr>
              <w:t>4月30日</w:t>
            </w:r>
          </w:p>
        </w:tc>
        <w:tc>
          <w:tcPr>
            <w:tcW w:w="112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sz w:val="28"/>
                <w:szCs w:val="28"/>
              </w:rPr>
            </w:pPr>
            <w:r>
              <w:rPr>
                <w:rFonts w:hint="eastAsia" w:ascii="仿宋" w:hAnsi="仿宋" w:eastAsia="仿宋" w:cs="仿宋"/>
                <w:kern w:val="0"/>
                <w:sz w:val="28"/>
                <w:szCs w:val="28"/>
                <w:lang w:val="en-US" w:eastAsia="zh-CN" w:bidi="ar"/>
              </w:rPr>
              <w:t>北京</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auto"/>
          <w:tblCellMar>
            <w:top w:w="0" w:type="dxa"/>
            <w:left w:w="0" w:type="dxa"/>
            <w:bottom w:w="0" w:type="dxa"/>
            <w:right w:w="0" w:type="dxa"/>
          </w:tblCellMar>
        </w:tblPrEx>
        <w:trPr>
          <w:trHeight w:val="270" w:hRule="atLeast"/>
        </w:trPr>
        <w:tc>
          <w:tcPr>
            <w:tcW w:w="93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sz w:val="28"/>
                <w:szCs w:val="28"/>
              </w:rPr>
            </w:pPr>
            <w:r>
              <w:rPr>
                <w:rFonts w:hint="eastAsia" w:ascii="仿宋" w:hAnsi="仿宋" w:eastAsia="仿宋" w:cs="仿宋"/>
                <w:kern w:val="0"/>
                <w:sz w:val="28"/>
                <w:szCs w:val="28"/>
                <w:lang w:val="en-US" w:eastAsia="zh-CN" w:bidi="ar"/>
              </w:rPr>
              <w:t>总第11期</w:t>
            </w:r>
          </w:p>
        </w:tc>
        <w:tc>
          <w:tcPr>
            <w:tcW w:w="98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sz w:val="28"/>
                <w:szCs w:val="28"/>
              </w:rPr>
            </w:pPr>
            <w:r>
              <w:rPr>
                <w:rFonts w:hint="eastAsia" w:ascii="仿宋" w:hAnsi="仿宋" w:eastAsia="仿宋" w:cs="仿宋"/>
                <w:kern w:val="0"/>
                <w:sz w:val="28"/>
                <w:szCs w:val="28"/>
                <w:lang w:val="en-US" w:eastAsia="zh-CN" w:bidi="ar"/>
              </w:rPr>
              <w:t>6月9日</w:t>
            </w:r>
          </w:p>
        </w:tc>
        <w:tc>
          <w:tcPr>
            <w:tcW w:w="98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sz w:val="28"/>
                <w:szCs w:val="28"/>
              </w:rPr>
            </w:pPr>
            <w:r>
              <w:rPr>
                <w:rFonts w:hint="eastAsia" w:ascii="仿宋" w:hAnsi="仿宋" w:eastAsia="仿宋" w:cs="仿宋"/>
                <w:kern w:val="0"/>
                <w:sz w:val="28"/>
                <w:szCs w:val="28"/>
                <w:lang w:val="en-US" w:eastAsia="zh-CN" w:bidi="ar"/>
              </w:rPr>
              <w:t>6月10日</w:t>
            </w:r>
          </w:p>
        </w:tc>
        <w:tc>
          <w:tcPr>
            <w:tcW w:w="98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sz w:val="28"/>
                <w:szCs w:val="28"/>
              </w:rPr>
            </w:pPr>
            <w:r>
              <w:rPr>
                <w:rFonts w:hint="eastAsia" w:ascii="仿宋" w:hAnsi="仿宋" w:eastAsia="仿宋" w:cs="仿宋"/>
                <w:kern w:val="0"/>
                <w:sz w:val="28"/>
                <w:szCs w:val="28"/>
                <w:lang w:val="en-US" w:eastAsia="zh-CN" w:bidi="ar"/>
              </w:rPr>
              <w:t>6月12日</w:t>
            </w:r>
          </w:p>
        </w:tc>
        <w:tc>
          <w:tcPr>
            <w:tcW w:w="112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sz w:val="28"/>
                <w:szCs w:val="28"/>
              </w:rPr>
            </w:pPr>
            <w:r>
              <w:rPr>
                <w:rFonts w:hint="eastAsia" w:ascii="仿宋" w:hAnsi="仿宋" w:eastAsia="仿宋" w:cs="仿宋"/>
                <w:kern w:val="0"/>
                <w:sz w:val="28"/>
                <w:szCs w:val="28"/>
                <w:lang w:val="en-US" w:eastAsia="zh-CN" w:bidi="ar"/>
              </w:rPr>
              <w:t>广州</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auto"/>
          <w:tblCellMar>
            <w:top w:w="0" w:type="dxa"/>
            <w:left w:w="0" w:type="dxa"/>
            <w:bottom w:w="0" w:type="dxa"/>
            <w:right w:w="0" w:type="dxa"/>
          </w:tblCellMar>
        </w:tblPrEx>
        <w:trPr>
          <w:trHeight w:val="270" w:hRule="atLeast"/>
        </w:trPr>
        <w:tc>
          <w:tcPr>
            <w:tcW w:w="93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sz w:val="28"/>
                <w:szCs w:val="28"/>
              </w:rPr>
            </w:pPr>
            <w:r>
              <w:rPr>
                <w:rFonts w:hint="eastAsia" w:ascii="仿宋" w:hAnsi="仿宋" w:eastAsia="仿宋" w:cs="仿宋"/>
                <w:kern w:val="0"/>
                <w:sz w:val="28"/>
                <w:szCs w:val="28"/>
                <w:lang w:val="en-US" w:eastAsia="zh-CN" w:bidi="ar"/>
              </w:rPr>
              <w:t>总第12期</w:t>
            </w:r>
          </w:p>
        </w:tc>
        <w:tc>
          <w:tcPr>
            <w:tcW w:w="98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sz w:val="28"/>
                <w:szCs w:val="28"/>
              </w:rPr>
            </w:pPr>
            <w:r>
              <w:rPr>
                <w:rFonts w:hint="eastAsia" w:ascii="仿宋" w:hAnsi="仿宋" w:eastAsia="仿宋" w:cs="仿宋"/>
                <w:kern w:val="0"/>
                <w:sz w:val="28"/>
                <w:szCs w:val="28"/>
                <w:lang w:val="en-US" w:eastAsia="zh-CN" w:bidi="ar"/>
              </w:rPr>
              <w:t>10月19日</w:t>
            </w:r>
          </w:p>
        </w:tc>
        <w:tc>
          <w:tcPr>
            <w:tcW w:w="98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sz w:val="28"/>
                <w:szCs w:val="28"/>
              </w:rPr>
            </w:pPr>
            <w:r>
              <w:rPr>
                <w:rFonts w:hint="eastAsia" w:ascii="仿宋" w:hAnsi="仿宋" w:eastAsia="仿宋" w:cs="仿宋"/>
                <w:kern w:val="0"/>
                <w:sz w:val="28"/>
                <w:szCs w:val="28"/>
                <w:lang w:val="en-US" w:eastAsia="zh-CN" w:bidi="ar"/>
              </w:rPr>
              <w:t>10月20日</w:t>
            </w:r>
          </w:p>
        </w:tc>
        <w:tc>
          <w:tcPr>
            <w:tcW w:w="98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sz w:val="28"/>
                <w:szCs w:val="28"/>
              </w:rPr>
            </w:pPr>
            <w:r>
              <w:rPr>
                <w:rFonts w:hint="eastAsia" w:ascii="仿宋" w:hAnsi="仿宋" w:eastAsia="仿宋" w:cs="仿宋"/>
                <w:kern w:val="0"/>
                <w:sz w:val="28"/>
                <w:szCs w:val="28"/>
                <w:lang w:val="en-US" w:eastAsia="zh-CN" w:bidi="ar"/>
              </w:rPr>
              <w:t>10月22日</w:t>
            </w:r>
          </w:p>
        </w:tc>
        <w:tc>
          <w:tcPr>
            <w:tcW w:w="112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sz w:val="28"/>
                <w:szCs w:val="28"/>
              </w:rPr>
            </w:pPr>
            <w:r>
              <w:rPr>
                <w:rFonts w:hint="eastAsia" w:ascii="仿宋" w:hAnsi="仿宋" w:eastAsia="仿宋" w:cs="仿宋"/>
                <w:kern w:val="0"/>
                <w:sz w:val="28"/>
                <w:szCs w:val="28"/>
                <w:lang w:val="en-US" w:eastAsia="zh-CN" w:bidi="ar"/>
              </w:rPr>
              <w:t>北京</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提示：结束时间以开课通知或课程安排表为准。</w:t>
      </w:r>
    </w:p>
    <w:p>
      <w:pPr>
        <w:bidi w:val="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八、结业及考核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完成全部课程学习，获得由北京国家会计学院颁发的电子版结业证书。</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九、收费标准及缴费方式</w:t>
      </w:r>
    </w:p>
    <w:p>
      <w:pPr>
        <w:spacing w:line="360" w:lineRule="auto"/>
        <w:ind w:firstLine="640" w:firstLineChars="200"/>
        <w:rPr>
          <w:rFonts w:hint="eastAsia" w:ascii="仿宋_GB2312" w:hAnsi="仿宋_GB2312" w:eastAsia="仿宋_GB2312" w:cs="仿宋_GB2312"/>
          <w:sz w:val="32"/>
          <w:szCs w:val="32"/>
        </w:rPr>
      </w:pPr>
      <w:r>
        <w:rPr>
          <w:rFonts w:ascii="华文仿宋" w:hAnsi="华文仿宋" w:eastAsia="华文仿宋" w:cs="华文仿宋"/>
          <w:sz w:val="32"/>
          <w:szCs w:val="32"/>
          <w:lang w:val="en-US"/>
        </w:rPr>
        <w:t>1.收费标准</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培训费：</w:t>
      </w:r>
      <w:r>
        <w:rPr>
          <w:rFonts w:ascii="仿宋_GB2312" w:hAnsi="华文仿宋" w:eastAsia="仿宋_GB2312" w:cs="华文仿宋"/>
          <w:sz w:val="32"/>
          <w:szCs w:val="32"/>
        </w:rPr>
        <w:t>人民币</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00元/人</w:t>
      </w:r>
      <w:r>
        <w:rPr>
          <w:rFonts w:ascii="华文仿宋" w:hAnsi="华文仿宋" w:eastAsia="华文仿宋" w:cs="华文仿宋"/>
          <w:sz w:val="32"/>
          <w:szCs w:val="32"/>
          <w:lang w:val="en-US"/>
        </w:rPr>
        <w:t>（不含食宿）</w:t>
      </w:r>
      <w:r>
        <w:rPr>
          <w:rFonts w:hint="eastAsia" w:ascii="仿宋_GB2312" w:hAnsi="仿宋_GB2312" w:eastAsia="仿宋_GB2312" w:cs="仿宋_GB2312"/>
          <w:sz w:val="32"/>
          <w:szCs w:val="32"/>
        </w:rPr>
        <w:t>。</w:t>
      </w:r>
    </w:p>
    <w:p>
      <w:pPr>
        <w:pStyle w:val="1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ascii="华文仿宋" w:hAnsi="华文仿宋" w:eastAsia="华文仿宋" w:cs="华文仿宋"/>
          <w:sz w:val="32"/>
          <w:szCs w:val="32"/>
          <w:lang w:val="en-US"/>
        </w:rPr>
      </w:pPr>
      <w:r>
        <w:rPr>
          <w:rFonts w:ascii="华文仿宋" w:hAnsi="华文仿宋" w:eastAsia="华文仿宋" w:cs="华文仿宋"/>
          <w:sz w:val="32"/>
          <w:szCs w:val="32"/>
          <w:lang w:val="en-US"/>
        </w:rPr>
        <w:t>食宿费：住宿房型、食宿标准以及支付方式详见开课通知。</w:t>
      </w:r>
    </w:p>
    <w:p>
      <w:pPr>
        <w:pStyle w:val="1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华文仿宋" w:hAnsi="华文仿宋" w:eastAsia="华文仿宋" w:cs="华文仿宋"/>
          <w:sz w:val="32"/>
          <w:szCs w:val="32"/>
          <w:lang w:val="en-US"/>
        </w:rPr>
      </w:pPr>
      <w:r>
        <w:rPr>
          <w:rFonts w:ascii="华文仿宋" w:hAnsi="华文仿宋" w:eastAsia="华文仿宋" w:cs="华文仿宋"/>
          <w:sz w:val="32"/>
          <w:szCs w:val="32"/>
          <w:lang w:val="en-US"/>
        </w:rPr>
        <w:t>2.缴费方式</w:t>
      </w:r>
    </w:p>
    <w:p>
      <w:pPr>
        <w:pStyle w:val="1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华文仿宋" w:hAnsi="华文仿宋" w:eastAsia="华文仿宋" w:cs="华文仿宋"/>
          <w:sz w:val="32"/>
          <w:szCs w:val="32"/>
          <w:lang w:val="en-US"/>
        </w:rPr>
      </w:pPr>
      <w:r>
        <w:rPr>
          <w:rFonts w:ascii="华文仿宋" w:hAnsi="华文仿宋" w:eastAsia="华文仿宋" w:cs="华文仿宋"/>
          <w:sz w:val="32"/>
          <w:szCs w:val="32"/>
          <w:lang w:val="en-US"/>
        </w:rPr>
        <w:t>学员报到时可现场刷储蓄卡、信用卡或者通过微信扫码、银行汇款等方式支付培训费。扫码支付可立即开具电子发票。</w:t>
      </w:r>
    </w:p>
    <w:p>
      <w:pPr>
        <w:pStyle w:val="1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华文仿宋" w:hAnsi="华文仿宋" w:eastAsia="华文仿宋" w:cs="华文仿宋"/>
          <w:sz w:val="32"/>
          <w:szCs w:val="32"/>
          <w:lang w:val="en-US"/>
        </w:rPr>
      </w:pPr>
      <w:r>
        <w:rPr>
          <w:rFonts w:ascii="华文仿宋" w:hAnsi="华文仿宋" w:eastAsia="华文仿宋" w:cs="华文仿宋"/>
          <w:sz w:val="32"/>
          <w:szCs w:val="32"/>
          <w:lang w:val="en-US"/>
        </w:rPr>
        <w:t>汇款信息如下：</w:t>
      </w:r>
    </w:p>
    <w:p>
      <w:pPr>
        <w:pStyle w:val="1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华文仿宋" w:hAnsi="华文仿宋" w:eastAsia="华文仿宋" w:cs="华文仿宋"/>
          <w:sz w:val="32"/>
          <w:szCs w:val="32"/>
        </w:rPr>
      </w:pPr>
      <w:r>
        <w:rPr>
          <w:rFonts w:ascii="华文仿宋" w:hAnsi="华文仿宋" w:eastAsia="华文仿宋" w:cs="华文仿宋"/>
          <w:sz w:val="32"/>
          <w:szCs w:val="32"/>
        </w:rPr>
        <w:t>单位名称：北京国家会计学院</w:t>
      </w:r>
    </w:p>
    <w:p>
      <w:pPr>
        <w:pStyle w:val="1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华文仿宋" w:hAnsi="华文仿宋" w:eastAsia="华文仿宋" w:cs="华文仿宋"/>
          <w:sz w:val="32"/>
          <w:szCs w:val="32"/>
        </w:rPr>
      </w:pPr>
      <w:r>
        <w:rPr>
          <w:rFonts w:ascii="华文仿宋" w:hAnsi="华文仿宋" w:eastAsia="华文仿宋" w:cs="华文仿宋"/>
          <w:sz w:val="32"/>
          <w:szCs w:val="32"/>
        </w:rPr>
        <w:t>汇款账号：1100 1020 1000 5603 0985</w:t>
      </w:r>
    </w:p>
    <w:p>
      <w:pPr>
        <w:pStyle w:val="1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华文仿宋" w:hAnsi="华文仿宋" w:eastAsia="华文仿宋" w:cs="华文仿宋"/>
          <w:sz w:val="32"/>
          <w:szCs w:val="32"/>
        </w:rPr>
      </w:pPr>
      <w:r>
        <w:rPr>
          <w:rFonts w:ascii="华文仿宋" w:hAnsi="华文仿宋" w:eastAsia="华文仿宋" w:cs="华文仿宋"/>
          <w:sz w:val="32"/>
          <w:szCs w:val="32"/>
        </w:rPr>
        <w:t>开户行：中国建设银行北京天竺支行（201）</w:t>
      </w:r>
    </w:p>
    <w:p>
      <w:pPr>
        <w:pStyle w:val="1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1" w:firstLineChars="200"/>
        <w:jc w:val="both"/>
        <w:rPr>
          <w:rFonts w:hint="default" w:ascii="华文仿宋" w:hAnsi="华文仿宋" w:eastAsia="华文仿宋" w:cs="华文仿宋"/>
          <w:sz w:val="32"/>
          <w:szCs w:val="32"/>
          <w:lang w:val="en-US"/>
        </w:rPr>
      </w:pPr>
      <w:r>
        <w:rPr>
          <w:rFonts w:hint="default" w:ascii="华文仿宋" w:hAnsi="华文仿宋" w:eastAsia="华文仿宋" w:cs="华文仿宋"/>
          <w:b/>
          <w:bCs/>
          <w:sz w:val="32"/>
          <w:szCs w:val="32"/>
          <w:lang w:val="en-US"/>
        </w:rPr>
        <w:t>特别提示：</w:t>
      </w:r>
      <w:r>
        <w:rPr>
          <w:rFonts w:ascii="华文仿宋" w:hAnsi="华文仿宋" w:eastAsia="华文仿宋" w:cs="华文仿宋"/>
          <w:sz w:val="32"/>
          <w:szCs w:val="32"/>
          <w:lang w:val="en-US"/>
        </w:rPr>
        <w:t>培训班如确定开班，学院将在开班前一周给学员发送《开课通知》。</w:t>
      </w:r>
      <w:r>
        <w:rPr>
          <w:rFonts w:hint="default" w:ascii="华文仿宋" w:hAnsi="华文仿宋" w:eastAsia="华文仿宋" w:cs="华文仿宋"/>
          <w:sz w:val="32"/>
          <w:szCs w:val="32"/>
          <w:lang w:val="en-US"/>
        </w:rPr>
        <w:t>如因报名人数</w:t>
      </w:r>
      <w:r>
        <w:rPr>
          <w:rFonts w:ascii="华文仿宋" w:hAnsi="华文仿宋" w:eastAsia="华文仿宋" w:cs="华文仿宋"/>
          <w:sz w:val="32"/>
          <w:szCs w:val="32"/>
          <w:lang w:val="en-US"/>
        </w:rPr>
        <w:t>低于</w:t>
      </w:r>
      <w:r>
        <w:rPr>
          <w:rFonts w:hint="default" w:ascii="华文仿宋" w:hAnsi="华文仿宋" w:eastAsia="华文仿宋" w:cs="华文仿宋"/>
          <w:sz w:val="32"/>
          <w:szCs w:val="32"/>
          <w:lang w:val="en-US"/>
        </w:rPr>
        <w:t>开班人数要求，</w:t>
      </w:r>
      <w:r>
        <w:rPr>
          <w:rFonts w:ascii="华文仿宋" w:hAnsi="华文仿宋" w:eastAsia="华文仿宋" w:cs="华文仿宋"/>
          <w:sz w:val="32"/>
          <w:szCs w:val="32"/>
          <w:lang w:val="en-US"/>
        </w:rPr>
        <w:t>学院</w:t>
      </w:r>
      <w:r>
        <w:rPr>
          <w:rFonts w:hint="default" w:ascii="华文仿宋" w:hAnsi="华文仿宋" w:eastAsia="华文仿宋" w:cs="华文仿宋"/>
          <w:sz w:val="32"/>
          <w:szCs w:val="32"/>
          <w:lang w:val="en-US"/>
        </w:rPr>
        <w:t>有权取消该班</w:t>
      </w:r>
      <w:r>
        <w:rPr>
          <w:rFonts w:ascii="华文仿宋" w:hAnsi="华文仿宋" w:eastAsia="华文仿宋" w:cs="华文仿宋"/>
          <w:sz w:val="32"/>
          <w:szCs w:val="32"/>
          <w:lang w:val="en-US"/>
        </w:rPr>
        <w:t>，</w:t>
      </w:r>
      <w:r>
        <w:rPr>
          <w:rFonts w:hint="default" w:ascii="华文仿宋" w:hAnsi="华文仿宋" w:eastAsia="华文仿宋" w:cs="华文仿宋"/>
          <w:sz w:val="32"/>
          <w:szCs w:val="32"/>
          <w:lang w:val="en-US"/>
        </w:rPr>
        <w:t>对学员已缴纳的费用予以全额退还，但不承担任何赔偿。对任何因信赖该班可以如期举行而导致的任何直接、间接损失，包括但不限于差旅费损失、误工费损失等，</w:t>
      </w:r>
      <w:r>
        <w:rPr>
          <w:rFonts w:ascii="华文仿宋" w:hAnsi="华文仿宋" w:eastAsia="华文仿宋" w:cs="华文仿宋"/>
          <w:sz w:val="32"/>
          <w:szCs w:val="32"/>
          <w:lang w:val="en-US"/>
        </w:rPr>
        <w:t>学院</w:t>
      </w:r>
      <w:r>
        <w:rPr>
          <w:rFonts w:hint="default" w:ascii="华文仿宋" w:hAnsi="华文仿宋" w:eastAsia="华文仿宋" w:cs="华文仿宋"/>
          <w:sz w:val="32"/>
          <w:szCs w:val="32"/>
          <w:lang w:val="en-US"/>
        </w:rPr>
        <w:t>均不承担法律责任。</w:t>
      </w:r>
    </w:p>
    <w:p>
      <w:pPr>
        <w:widowControl/>
        <w:shd w:val="clear" w:color="auto" w:fill="FFFFFF"/>
        <w:spacing w:line="360" w:lineRule="auto"/>
        <w:rPr>
          <w:rFonts w:ascii="华文仿宋" w:hAnsi="华文仿宋" w:eastAsia="华文仿宋" w:cs="华文仿宋"/>
          <w:b/>
          <w:bCs/>
          <w:kern w:val="0"/>
          <w:sz w:val="32"/>
          <w:szCs w:val="32"/>
        </w:rPr>
      </w:pPr>
      <w:r>
        <w:rPr>
          <w:rFonts w:hint="eastAsia" w:ascii="华文仿宋" w:hAnsi="华文仿宋" w:eastAsia="华文仿宋" w:cs="华文仿宋"/>
          <w:b/>
          <w:bCs/>
          <w:kern w:val="0"/>
          <w:sz w:val="32"/>
          <w:szCs w:val="32"/>
          <w:lang w:eastAsia="zh-CN"/>
        </w:rPr>
        <w:t>十</w:t>
      </w:r>
      <w:r>
        <w:rPr>
          <w:rFonts w:hint="eastAsia" w:ascii="华文仿宋" w:hAnsi="华文仿宋" w:eastAsia="华文仿宋" w:cs="华文仿宋"/>
          <w:b/>
          <w:bCs/>
          <w:kern w:val="0"/>
          <w:sz w:val="32"/>
          <w:szCs w:val="32"/>
        </w:rPr>
        <w:t>、联系我们</w:t>
      </w:r>
    </w:p>
    <w:p>
      <w:pPr>
        <w:widowControl/>
        <w:shd w:val="clear" w:color="auto" w:fill="FFFFFF"/>
        <w:spacing w:line="360" w:lineRule="auto"/>
        <w:ind w:firstLine="660" w:firstLineChars="200"/>
        <w:rPr>
          <w:rFonts w:ascii="华文仿宋" w:hAnsi="华文仿宋" w:eastAsia="华文仿宋" w:cs="华文仿宋"/>
          <w:spacing w:val="5"/>
          <w:kern w:val="0"/>
          <w:sz w:val="32"/>
          <w:szCs w:val="32"/>
        </w:rPr>
      </w:pPr>
      <w:r>
        <w:rPr>
          <w:rFonts w:hint="eastAsia" w:ascii="华文仿宋" w:hAnsi="华文仿宋" w:eastAsia="华文仿宋" w:cs="华文仿宋"/>
          <w:spacing w:val="5"/>
          <w:kern w:val="0"/>
          <w:sz w:val="32"/>
          <w:szCs w:val="32"/>
        </w:rPr>
        <w:t>联系人：</w:t>
      </w:r>
      <w:r>
        <w:rPr>
          <w:rFonts w:hint="eastAsia" w:ascii="华文仿宋" w:hAnsi="华文仿宋" w:eastAsia="华文仿宋" w:cs="华文仿宋"/>
          <w:spacing w:val="5"/>
          <w:kern w:val="0"/>
          <w:sz w:val="32"/>
          <w:szCs w:val="32"/>
          <w:lang w:eastAsia="zh-CN"/>
        </w:rPr>
        <w:t>邱</w:t>
      </w:r>
      <w:r>
        <w:rPr>
          <w:rFonts w:hint="eastAsia" w:ascii="华文仿宋" w:hAnsi="华文仿宋" w:eastAsia="华文仿宋" w:cs="华文仿宋"/>
          <w:spacing w:val="5"/>
          <w:kern w:val="0"/>
          <w:sz w:val="32"/>
          <w:szCs w:val="32"/>
        </w:rPr>
        <w:t>老师</w:t>
      </w:r>
    </w:p>
    <w:p>
      <w:pPr>
        <w:widowControl/>
        <w:shd w:val="clear" w:color="auto" w:fill="FFFFFF"/>
        <w:spacing w:line="360" w:lineRule="auto"/>
        <w:ind w:firstLine="660" w:firstLineChars="200"/>
        <w:rPr>
          <w:rFonts w:hint="default" w:ascii="华文仿宋" w:hAnsi="华文仿宋" w:eastAsia="华文仿宋" w:cs="华文仿宋"/>
          <w:spacing w:val="5"/>
          <w:kern w:val="0"/>
          <w:sz w:val="32"/>
          <w:szCs w:val="32"/>
          <w:lang w:val="en-US" w:eastAsia="zh-CN"/>
        </w:rPr>
      </w:pPr>
      <w:r>
        <w:rPr>
          <w:rFonts w:hint="eastAsia" w:ascii="华文仿宋" w:hAnsi="华文仿宋" w:eastAsia="华文仿宋" w:cs="华文仿宋"/>
          <w:spacing w:val="5"/>
          <w:kern w:val="0"/>
          <w:sz w:val="32"/>
          <w:szCs w:val="32"/>
        </w:rPr>
        <w:t>电话：010-645050</w:t>
      </w:r>
      <w:r>
        <w:rPr>
          <w:rFonts w:hint="eastAsia" w:ascii="华文仿宋" w:hAnsi="华文仿宋" w:eastAsia="华文仿宋" w:cs="华文仿宋"/>
          <w:spacing w:val="5"/>
          <w:kern w:val="0"/>
          <w:sz w:val="32"/>
          <w:szCs w:val="32"/>
          <w:lang w:val="en-US" w:eastAsia="zh-CN"/>
        </w:rPr>
        <w:t>46</w:t>
      </w:r>
    </w:p>
    <w:p>
      <w:pPr>
        <w:widowControl/>
        <w:shd w:val="clear" w:color="auto" w:fill="FFFFFF"/>
        <w:spacing w:line="360" w:lineRule="auto"/>
        <w:ind w:firstLine="660" w:firstLineChars="200"/>
        <w:rPr>
          <w:rFonts w:hint="eastAsia" w:ascii="仿宋_GB2312" w:hAnsi="仿宋_GB2312" w:eastAsia="仿宋_GB2312" w:cs="仿宋_GB2312"/>
          <w:sz w:val="32"/>
          <w:szCs w:val="32"/>
        </w:rPr>
      </w:pPr>
      <w:r>
        <w:rPr>
          <w:rFonts w:hint="eastAsia" w:ascii="华文仿宋" w:hAnsi="华文仿宋" w:eastAsia="华文仿宋" w:cs="华文仿宋"/>
          <w:spacing w:val="5"/>
          <w:kern w:val="0"/>
          <w:sz w:val="32"/>
          <w:szCs w:val="32"/>
        </w:rPr>
        <w:t>邮箱：</w:t>
      </w:r>
      <w:r>
        <w:rPr>
          <w:rFonts w:hint="eastAsia" w:ascii="华文仿宋" w:hAnsi="华文仿宋" w:eastAsia="华文仿宋" w:cs="华文仿宋"/>
          <w:spacing w:val="5"/>
          <w:kern w:val="0"/>
          <w:sz w:val="32"/>
          <w:szCs w:val="32"/>
          <w:lang w:val="en-US" w:eastAsia="zh-CN"/>
        </w:rPr>
        <w:t>qiucc</w:t>
      </w:r>
      <w:r>
        <w:rPr>
          <w:rFonts w:hint="eastAsia" w:ascii="华文仿宋" w:hAnsi="华文仿宋" w:eastAsia="华文仿宋" w:cs="华文仿宋"/>
          <w:spacing w:val="5"/>
          <w:kern w:val="0"/>
          <w:sz w:val="32"/>
          <w:szCs w:val="32"/>
        </w:rPr>
        <w:t>@</w:t>
      </w:r>
      <w:r>
        <w:rPr>
          <w:rFonts w:ascii="华文仿宋" w:hAnsi="华文仿宋" w:eastAsia="华文仿宋" w:cs="华文仿宋"/>
          <w:spacing w:val="5"/>
          <w:kern w:val="0"/>
          <w:sz w:val="32"/>
          <w:szCs w:val="32"/>
        </w:rPr>
        <w:t>mail.</w:t>
      </w:r>
      <w:r>
        <w:rPr>
          <w:rFonts w:hint="eastAsia" w:ascii="华文仿宋" w:hAnsi="华文仿宋" w:eastAsia="华文仿宋" w:cs="华文仿宋"/>
          <w:spacing w:val="5"/>
          <w:kern w:val="0"/>
          <w:sz w:val="32"/>
          <w:szCs w:val="32"/>
        </w:rPr>
        <w:t>nai.</w:t>
      </w:r>
      <w:r>
        <w:rPr>
          <w:rFonts w:ascii="华文仿宋" w:hAnsi="华文仿宋" w:eastAsia="华文仿宋" w:cs="华文仿宋"/>
          <w:spacing w:val="5"/>
          <w:kern w:val="0"/>
          <w:sz w:val="32"/>
          <w:szCs w:val="32"/>
        </w:rPr>
        <w:t>edu.cn</w:t>
      </w:r>
    </w:p>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Helvetica Neue">
    <w:altName w:val="Times New Roman"/>
    <w:panose1 w:val="00000000000000000000"/>
    <w:charset w:val="00"/>
    <w:family w:val="auto"/>
    <w:pitch w:val="default"/>
    <w:sig w:usb0="00000000" w:usb1="00000000" w:usb2="0000001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AE2A75"/>
    <w:rsid w:val="46E4349B"/>
    <w:rsid w:val="708D1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默认"/>
    <w:qFormat/>
    <w:uiPriority w:val="0"/>
    <w:pPr>
      <w:spacing w:before="160"/>
    </w:pPr>
    <w:rPr>
      <w:rFonts w:hint="eastAsia" w:ascii="Arial Unicode MS" w:hAnsi="Arial Unicode MS" w:eastAsia="Helvetica Neue" w:cs="Arial Unicode MS"/>
      <w:color w:val="000000"/>
      <w:sz w:val="24"/>
      <w:szCs w:val="24"/>
      <w:lang w:val="zh-CN"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2023-04-13T10:17:00Z</dcterms:created>
  <dc:creator>Administrator</dc:creator>
  <cp:lastModifiedBy>姜xiaomao</cp:lastModifiedBy>
  <dcterms:modified xsi:type="dcterms:W3CDTF">2023-04-20T06:39:29Z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