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_GB2312"/>
          <w:b/>
          <w:bCs/>
          <w:sz w:val="36"/>
          <w:szCs w:val="36"/>
        </w:rPr>
      </w:pPr>
      <w:r>
        <w:rPr>
          <w:rFonts w:hint="eastAsia" w:ascii="仿宋" w:hAnsi="仿宋" w:eastAsia="仿宋" w:cs="仿宋_GB2312"/>
          <w:b/>
          <w:bCs/>
          <w:sz w:val="36"/>
          <w:szCs w:val="36"/>
        </w:rPr>
        <w:t>“吉利研学计划”</w:t>
      </w:r>
      <w:r>
        <w:rPr>
          <w:rFonts w:hint="eastAsia" w:ascii="仿宋" w:hAnsi="仿宋" w:eastAsia="仿宋" w:cs="仿宋_GB2312"/>
          <w:b/>
          <w:bCs/>
          <w:sz w:val="36"/>
          <w:szCs w:val="36"/>
        </w:rPr>
        <w:t xml:space="preserve"> </w:t>
      </w:r>
    </w:p>
    <w:p>
      <w:pPr>
        <w:spacing w:line="360" w:lineRule="auto"/>
        <w:jc w:val="center"/>
        <w:rPr>
          <w:rFonts w:hint="eastAsia" w:ascii="仿宋" w:hAnsi="仿宋" w:eastAsia="仿宋" w:cs="仿宋_GB2312"/>
          <w:b/>
          <w:bCs/>
          <w:sz w:val="36"/>
          <w:szCs w:val="36"/>
        </w:rPr>
      </w:pPr>
      <w:r>
        <w:rPr>
          <w:rFonts w:hint="eastAsia" w:ascii="仿宋" w:hAnsi="仿宋" w:eastAsia="仿宋" w:cs="仿宋_GB2312"/>
          <w:b/>
          <w:bCs/>
          <w:sz w:val="36"/>
          <w:szCs w:val="36"/>
        </w:rPr>
        <w:t>招生简章</w:t>
      </w:r>
    </w:p>
    <w:p>
      <w:pPr>
        <w:spacing w:line="360" w:lineRule="auto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一、培训背景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“十四五“时期，我国将开启实现高质量发展，建设现代化经济体系的新征程。企业迫切需要前瞻性思考、全局性谋划、战略性布局和创新性思维助力企业变革与时俱进。数字经济时代新技术不断涌现，重塑了传统的商业模式，催生了新的管理模式。新发展阶段，国内外涌现出一批拥有新发展理念的标杆企业，其管理模式、创新机制和技术方法等标杆范式的建立，值得所有开放创新的企业深入探究和思考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北京国家会计学院推出全新“走进名企”知行合一系列课程，聚焦数字化时代的企业运营和财务转型议题，深度剖析知名企业的核心竞争力，掌握技术变革对商业模式的冲击以及应对之道，领略财务转型与价值创造的精髓，赋能面向未来、面向国际的高素质专业人才。</w:t>
      </w:r>
    </w:p>
    <w:p>
      <w:pPr>
        <w:spacing w:line="360" w:lineRule="auto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二、研学主题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1.全面了解吉利汽车的技术创新、管理创新、制度创新和文化创新的价值思维体系；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2.深刻洞察吉利汽车整合百年国际品牌资源、提升自主品牌价值的成功要素；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3.认真解构吉利汽车财务战略如何支撑企业战略、赋能业务和价值创造的底层逻辑； 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4.深入分析吉利汽车挖掘经营数据驱动管理决策，培育发展新动能的数字化决策框架。</w:t>
      </w:r>
    </w:p>
    <w:p>
      <w:pPr>
        <w:spacing w:line="360" w:lineRule="auto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三、学习收益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1.【观摩·体验】参观吉利集团核心业务，了解吉利发展史，感受企业文化和特色做法；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2.【交流·碰撞】与吉利集团高管面对面交流，深度互动研讨，领略经营运作和财务战略精髓；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3.【学习·思考】系统学习企业发展战略和财务协同的价值，对标杆、找差距、补短板；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4.【总结·升华】总结吉利全球化发展的成功经验，分析其全球经营的思维模式和经营模式，助力企业走出国门走向世界。</w:t>
      </w:r>
    </w:p>
    <w:p>
      <w:pPr>
        <w:spacing w:line="360" w:lineRule="auto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四、研学安排</w:t>
      </w:r>
    </w:p>
    <w:p>
      <w:pPr>
        <w:spacing w:line="360" w:lineRule="auto"/>
        <w:ind w:firstLine="562" w:firstLineChars="200"/>
        <w:rPr>
          <w:rFonts w:ascii="仿宋" w:hAnsi="仿宋" w:eastAsia="仿宋" w:cs="仿宋_GB2312"/>
          <w:b/>
          <w:sz w:val="28"/>
          <w:szCs w:val="28"/>
        </w:rPr>
      </w:pPr>
      <w:r>
        <w:rPr>
          <w:rFonts w:hint="eastAsia" w:ascii="仿宋" w:hAnsi="仿宋" w:eastAsia="仿宋" w:cs="仿宋_GB2312"/>
          <w:b/>
          <w:sz w:val="28"/>
          <w:szCs w:val="28"/>
        </w:rPr>
        <w:t>1</w:t>
      </w:r>
      <w:r>
        <w:rPr>
          <w:rFonts w:ascii="仿宋" w:hAnsi="仿宋" w:eastAsia="仿宋" w:cs="仿宋_GB2312"/>
          <w:b/>
          <w:sz w:val="28"/>
          <w:szCs w:val="28"/>
        </w:rPr>
        <w:t>.</w:t>
      </w:r>
      <w:r>
        <w:rPr>
          <w:rFonts w:hint="eastAsia" w:ascii="仿宋" w:hAnsi="仿宋" w:eastAsia="仿宋" w:cs="仿宋_GB2312"/>
          <w:b/>
          <w:sz w:val="28"/>
          <w:szCs w:val="28"/>
        </w:rPr>
        <w:t>名企背景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浙江吉利控股集团（以下简称“吉利控股集团”）始建于1986年，通过35年的发展，资产总值超过4800亿元，员工总数超过12万人，连续九年上榜《财富》世界500强。已发展成为一家集汽车整车、动力总成和关键零部件设计、研发、生产、销售和服务于一体，并涵盖出行服务、线上科技创新、金融服务、教育、体育等在内的全球型集团。集团总部设在杭州，旗下拥有吉利汽车、领克汽车、吉利Smart、沃尔沃汽车、Polestar、宝腾汽车、路特斯汽车、伦敦电动汽车、远程新能源商用车、太力飞行车、时空道宇、曹操出行、盛宝银行、铭泰等品牌企业，同时也是戴姆勒股份公司的第一大股东。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吉利控股集团旗下汽车企业在中国上海、杭州、宁波，瑞典哥德堡、英国考文垂、西班牙巴塞罗那、美国加州建有设计、研发中心，现有研发设计、工程技术人员2万余人，拥有1万多项发明和各类专利，所有产品拥有完整知识产权。在中国、美国、英国、瑞典、比利时、白俄罗斯、马来西亚建有世界一流的现代化汽车整车和动力总成制造工厂，拥有各类销售网点超过4000家，产品销售及服务网络遍布世界各地。</w:t>
      </w:r>
    </w:p>
    <w:p>
      <w:pPr>
        <w:spacing w:line="360" w:lineRule="auto"/>
        <w:ind w:firstLine="562" w:firstLineChars="200"/>
        <w:rPr>
          <w:rFonts w:ascii="仿宋" w:hAnsi="仿宋" w:eastAsia="仿宋" w:cs="仿宋_GB2312"/>
          <w:b/>
          <w:sz w:val="28"/>
          <w:szCs w:val="28"/>
        </w:rPr>
      </w:pPr>
      <w:r>
        <w:rPr>
          <w:rFonts w:hint="eastAsia" w:ascii="仿宋" w:hAnsi="仿宋" w:eastAsia="仿宋" w:cs="仿宋_GB2312"/>
          <w:b/>
          <w:sz w:val="28"/>
          <w:szCs w:val="28"/>
        </w:rPr>
        <w:t>2. 研学内容与时间安排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（1）研学内容：智能研发、智能制造、国际化战略、创新机制、财务战略以及人才培养。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（2）时间及地点：</w:t>
      </w:r>
    </w:p>
    <w:tbl>
      <w:tblPr>
        <w:tblStyle w:val="10"/>
        <w:tblpPr w:vertAnchor="text"/>
        <w:tblW w:w="4998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786"/>
        <w:gridCol w:w="1673"/>
        <w:gridCol w:w="1891"/>
        <w:gridCol w:w="16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535455"/>
                <w:sz w:val="28"/>
                <w:szCs w:val="28"/>
              </w:rPr>
              <w:t>期数</w:t>
            </w:r>
          </w:p>
        </w:tc>
        <w:tc>
          <w:tcPr>
            <w:tcW w:w="10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535455"/>
                <w:sz w:val="28"/>
                <w:szCs w:val="28"/>
              </w:rPr>
              <w:t>报到时间</w:t>
            </w:r>
          </w:p>
        </w:tc>
        <w:tc>
          <w:tcPr>
            <w:tcW w:w="10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535455"/>
                <w:sz w:val="28"/>
                <w:szCs w:val="28"/>
              </w:rPr>
              <w:t>开始时间</w:t>
            </w:r>
          </w:p>
        </w:tc>
        <w:tc>
          <w:tcPr>
            <w:tcW w:w="113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535455"/>
                <w:sz w:val="28"/>
                <w:szCs w:val="28"/>
              </w:rPr>
              <w:t>结束时间</w:t>
            </w:r>
          </w:p>
        </w:tc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535455"/>
                <w:sz w:val="28"/>
                <w:szCs w:val="28"/>
              </w:rPr>
              <w:t>培训地点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8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535455"/>
                <w:sz w:val="28"/>
                <w:szCs w:val="28"/>
              </w:rPr>
              <w:t>总第5期</w:t>
            </w:r>
          </w:p>
        </w:tc>
        <w:tc>
          <w:tcPr>
            <w:tcW w:w="10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535455"/>
                <w:sz w:val="28"/>
                <w:szCs w:val="28"/>
              </w:rPr>
              <w:t>3月11日</w:t>
            </w:r>
          </w:p>
        </w:tc>
        <w:tc>
          <w:tcPr>
            <w:tcW w:w="10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535455"/>
                <w:sz w:val="28"/>
                <w:szCs w:val="28"/>
              </w:rPr>
              <w:t>3月12日</w:t>
            </w:r>
          </w:p>
        </w:tc>
        <w:tc>
          <w:tcPr>
            <w:tcW w:w="113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535455"/>
                <w:sz w:val="28"/>
                <w:szCs w:val="28"/>
              </w:rPr>
              <w:t>3月14日</w:t>
            </w:r>
          </w:p>
        </w:tc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535455"/>
                <w:sz w:val="28"/>
                <w:szCs w:val="28"/>
              </w:rPr>
              <w:t>杭州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535455"/>
                <w:sz w:val="28"/>
                <w:szCs w:val="28"/>
              </w:rPr>
              <w:t>总第6期</w:t>
            </w:r>
          </w:p>
        </w:tc>
        <w:tc>
          <w:tcPr>
            <w:tcW w:w="10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535455"/>
                <w:sz w:val="28"/>
                <w:szCs w:val="28"/>
              </w:rPr>
              <w:t>6月17日</w:t>
            </w:r>
          </w:p>
        </w:tc>
        <w:tc>
          <w:tcPr>
            <w:tcW w:w="10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535455"/>
                <w:sz w:val="28"/>
                <w:szCs w:val="28"/>
              </w:rPr>
              <w:t>6月18日</w:t>
            </w:r>
          </w:p>
        </w:tc>
        <w:tc>
          <w:tcPr>
            <w:tcW w:w="113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535455"/>
                <w:sz w:val="28"/>
                <w:szCs w:val="28"/>
              </w:rPr>
              <w:t>6月</w:t>
            </w:r>
            <w:r>
              <w:rPr>
                <w:rFonts w:ascii="仿宋" w:hAnsi="仿宋" w:eastAsia="仿宋" w:cs="仿宋_GB2312"/>
                <w:color w:val="535455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_GB2312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535455"/>
                <w:sz w:val="28"/>
                <w:szCs w:val="28"/>
              </w:rPr>
              <w:t>杭州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535455"/>
                <w:sz w:val="28"/>
                <w:szCs w:val="28"/>
              </w:rPr>
              <w:t>总第7期</w:t>
            </w:r>
          </w:p>
        </w:tc>
        <w:tc>
          <w:tcPr>
            <w:tcW w:w="10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535455"/>
                <w:sz w:val="28"/>
                <w:szCs w:val="28"/>
              </w:rPr>
              <w:t>9月14日</w:t>
            </w:r>
          </w:p>
        </w:tc>
        <w:tc>
          <w:tcPr>
            <w:tcW w:w="10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535455"/>
                <w:sz w:val="28"/>
                <w:szCs w:val="28"/>
              </w:rPr>
              <w:t>9月15日</w:t>
            </w:r>
          </w:p>
        </w:tc>
        <w:tc>
          <w:tcPr>
            <w:tcW w:w="113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535455"/>
                <w:sz w:val="28"/>
                <w:szCs w:val="28"/>
              </w:rPr>
              <w:t>9月17日</w:t>
            </w:r>
          </w:p>
        </w:tc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535455"/>
                <w:sz w:val="28"/>
                <w:szCs w:val="28"/>
              </w:rPr>
              <w:t>杭州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535455"/>
                <w:sz w:val="28"/>
                <w:szCs w:val="28"/>
              </w:rPr>
              <w:t>总第8期</w:t>
            </w:r>
          </w:p>
        </w:tc>
        <w:tc>
          <w:tcPr>
            <w:tcW w:w="10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535455"/>
                <w:sz w:val="28"/>
                <w:szCs w:val="28"/>
              </w:rPr>
              <w:t>10月19日</w:t>
            </w:r>
          </w:p>
        </w:tc>
        <w:tc>
          <w:tcPr>
            <w:tcW w:w="10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535455"/>
                <w:sz w:val="28"/>
                <w:szCs w:val="28"/>
              </w:rPr>
              <w:t>10月20日</w:t>
            </w:r>
          </w:p>
        </w:tc>
        <w:tc>
          <w:tcPr>
            <w:tcW w:w="113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535455"/>
                <w:sz w:val="28"/>
                <w:szCs w:val="28"/>
              </w:rPr>
              <w:t>10月22日</w:t>
            </w:r>
          </w:p>
        </w:tc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535455"/>
                <w:sz w:val="28"/>
                <w:szCs w:val="28"/>
              </w:rPr>
              <w:t>杭州</w:t>
            </w:r>
          </w:p>
        </w:tc>
      </w:tr>
    </w:tbl>
    <w:p>
      <w:pPr>
        <w:spacing w:line="360" w:lineRule="auto"/>
        <w:ind w:firstLine="64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）行程安排：</w:t>
      </w:r>
    </w:p>
    <w:tbl>
      <w:tblPr>
        <w:tblStyle w:val="10"/>
        <w:tblW w:w="5000" w:type="pct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374"/>
        <w:gridCol w:w="593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b/>
                <w:color w:val="535455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b/>
                <w:color w:val="535455"/>
                <w:sz w:val="28"/>
                <w:szCs w:val="28"/>
              </w:rPr>
              <w:t>研学日程安排表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b/>
                <w:color w:val="535455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b/>
                <w:color w:val="535455"/>
                <w:sz w:val="28"/>
                <w:szCs w:val="28"/>
              </w:rPr>
              <w:t>时间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b/>
                <w:color w:val="535455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b/>
                <w:color w:val="535455"/>
                <w:sz w:val="28"/>
                <w:szCs w:val="28"/>
              </w:rPr>
              <w:t>主题</w:t>
            </w:r>
          </w:p>
        </w:tc>
        <w:tc>
          <w:tcPr>
            <w:tcW w:w="3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b/>
                <w:color w:val="535455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b/>
                <w:color w:val="535455"/>
                <w:sz w:val="28"/>
                <w:szCs w:val="28"/>
              </w:rPr>
              <w:t>研学内容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535455"/>
                <w:sz w:val="28"/>
                <w:szCs w:val="28"/>
              </w:rPr>
              <w:t>第一天上午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535455"/>
                <w:sz w:val="28"/>
                <w:szCs w:val="28"/>
              </w:rPr>
              <w:t>参访</w:t>
            </w:r>
          </w:p>
        </w:tc>
        <w:tc>
          <w:tcPr>
            <w:tcW w:w="3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535455"/>
                <w:sz w:val="28"/>
                <w:szCs w:val="28"/>
              </w:rPr>
              <w:t>参访吉利集团总部。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535455"/>
                <w:kern w:val="0"/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535455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535455"/>
                <w:kern w:val="0"/>
                <w:sz w:val="28"/>
                <w:szCs w:val="28"/>
              </w:rPr>
              <w:t>主题学习</w:t>
            </w:r>
          </w:p>
        </w:tc>
        <w:tc>
          <w:tcPr>
            <w:tcW w:w="3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535455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535455"/>
                <w:kern w:val="0"/>
                <w:sz w:val="28"/>
                <w:szCs w:val="28"/>
              </w:rPr>
              <w:t>吉利集团资深副总裁将围绕吉利奋斗发展史、智慧企业、企业管理等主题做主题演讲。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535455"/>
                <w:kern w:val="0"/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535455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535455"/>
                <w:kern w:val="0"/>
                <w:sz w:val="28"/>
                <w:szCs w:val="28"/>
              </w:rPr>
              <w:t>Q&amp;A</w:t>
            </w:r>
          </w:p>
        </w:tc>
        <w:tc>
          <w:tcPr>
            <w:tcW w:w="3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535455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535455"/>
                <w:kern w:val="0"/>
                <w:sz w:val="28"/>
                <w:szCs w:val="28"/>
              </w:rPr>
              <w:t>研讨和交流环节中，老师将与学员展开零距离互动，共同探讨企业运营之道。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535455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535455"/>
                <w:kern w:val="0"/>
                <w:sz w:val="28"/>
                <w:szCs w:val="28"/>
              </w:rPr>
              <w:t>第二天下午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535455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535455"/>
                <w:kern w:val="0"/>
                <w:sz w:val="28"/>
                <w:szCs w:val="28"/>
              </w:rPr>
              <w:t>主题学习</w:t>
            </w:r>
          </w:p>
        </w:tc>
        <w:tc>
          <w:tcPr>
            <w:tcW w:w="3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535455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535455"/>
                <w:kern w:val="0"/>
                <w:sz w:val="28"/>
                <w:szCs w:val="28"/>
              </w:rPr>
              <w:t>创新思维与领导力。课程将聚焦财务领导需要具备哪些能力促进团队协作，同时如何创新思维助力财务转型赋能业务发展。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535455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535455"/>
                <w:kern w:val="0"/>
                <w:sz w:val="28"/>
                <w:szCs w:val="28"/>
              </w:rPr>
              <w:t>第二天上午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535455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535455"/>
                <w:kern w:val="0"/>
                <w:sz w:val="28"/>
                <w:szCs w:val="28"/>
              </w:rPr>
              <w:t>主题学习</w:t>
            </w:r>
          </w:p>
        </w:tc>
        <w:tc>
          <w:tcPr>
            <w:tcW w:w="3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535455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535455"/>
                <w:kern w:val="0"/>
                <w:sz w:val="28"/>
                <w:szCs w:val="28"/>
              </w:rPr>
              <w:t>财务战略与企业发展。课程将围绕数字化转型下的企业财务战略如何落地做主题演讲。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535455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535455"/>
                <w:kern w:val="0"/>
                <w:sz w:val="28"/>
                <w:szCs w:val="28"/>
              </w:rPr>
              <w:t>第二天下午</w:t>
            </w:r>
          </w:p>
        </w:tc>
        <w:tc>
          <w:tcPr>
            <w:tcW w:w="8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535455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535455"/>
                <w:kern w:val="0"/>
                <w:sz w:val="28"/>
                <w:szCs w:val="28"/>
              </w:rPr>
              <w:t>结构化研讨</w:t>
            </w:r>
          </w:p>
        </w:tc>
        <w:tc>
          <w:tcPr>
            <w:tcW w:w="3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535455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535455"/>
                <w:kern w:val="0"/>
                <w:sz w:val="28"/>
                <w:szCs w:val="28"/>
              </w:rPr>
              <w:t>研讨主题：数字经济下企业财务转型的重点与难点问题。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535455"/>
                <w:kern w:val="0"/>
                <w:sz w:val="28"/>
                <w:szCs w:val="28"/>
              </w:rPr>
            </w:pPr>
          </w:p>
        </w:tc>
        <w:tc>
          <w:tcPr>
            <w:tcW w:w="8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535455"/>
                <w:kern w:val="0"/>
                <w:sz w:val="28"/>
                <w:szCs w:val="28"/>
              </w:rPr>
            </w:pPr>
          </w:p>
        </w:tc>
        <w:tc>
          <w:tcPr>
            <w:tcW w:w="3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535455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535455"/>
                <w:kern w:val="0"/>
                <w:sz w:val="28"/>
                <w:szCs w:val="28"/>
              </w:rPr>
              <w:t>参训学员需自备一个案例或者问题参与小组讨论，并与全组一起形成研讨报告。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五、结业及考核</w:t>
      </w:r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b/>
          <w:bCs/>
          <w:sz w:val="32"/>
          <w:szCs w:val="32"/>
        </w:rPr>
      </w:pPr>
      <w:r>
        <w:rPr>
          <w:rFonts w:ascii="仿宋" w:hAnsi="仿宋" w:eastAsia="仿宋" w:cs="华文仿宋"/>
          <w:sz w:val="32"/>
          <w:szCs w:val="32"/>
        </w:rPr>
        <w:t>研学结束后，</w:t>
      </w:r>
      <w:r>
        <w:rPr>
          <w:rFonts w:ascii="仿宋" w:hAnsi="仿宋" w:eastAsia="仿宋" w:cs="华文仿宋"/>
          <w:sz w:val="32"/>
          <w:szCs w:val="32"/>
          <w:lang w:val="en-US"/>
        </w:rPr>
        <w:t>学员可获得</w:t>
      </w:r>
      <w:r>
        <w:rPr>
          <w:rFonts w:ascii="仿宋" w:hAnsi="仿宋" w:eastAsia="仿宋" w:cs="华文仿宋"/>
          <w:sz w:val="32"/>
          <w:szCs w:val="32"/>
        </w:rPr>
        <w:t>北京国家会计学院</w:t>
      </w:r>
      <w:r>
        <w:rPr>
          <w:rFonts w:ascii="仿宋" w:hAnsi="仿宋" w:eastAsia="仿宋" w:cs="华文仿宋"/>
          <w:sz w:val="32"/>
          <w:szCs w:val="32"/>
          <w:lang w:val="en-US"/>
        </w:rPr>
        <w:t>颁发的研修班</w:t>
      </w:r>
      <w:r>
        <w:rPr>
          <w:rFonts w:ascii="仿宋" w:hAnsi="仿宋" w:eastAsia="仿宋" w:cs="华文仿宋"/>
          <w:sz w:val="32"/>
          <w:szCs w:val="32"/>
        </w:rPr>
        <w:t>结业证书（</w:t>
      </w:r>
      <w:r>
        <w:rPr>
          <w:rFonts w:ascii="仿宋" w:hAnsi="仿宋" w:eastAsia="仿宋" w:cs="华文仿宋"/>
          <w:sz w:val="32"/>
          <w:szCs w:val="32"/>
          <w:lang w:val="en-US"/>
        </w:rPr>
        <w:t>电子版</w:t>
      </w:r>
      <w:r>
        <w:rPr>
          <w:rFonts w:ascii="仿宋" w:hAnsi="仿宋" w:eastAsia="仿宋" w:cs="华文仿宋"/>
          <w:sz w:val="32"/>
          <w:szCs w:val="32"/>
        </w:rPr>
        <w:t>）。</w:t>
      </w:r>
    </w:p>
    <w:p>
      <w:pPr>
        <w:spacing w:line="360" w:lineRule="auto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六、收费标准及缴费方式</w:t>
      </w:r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  <w:lang w:val="en-US"/>
        </w:rPr>
      </w:pPr>
      <w:r>
        <w:rPr>
          <w:rFonts w:ascii="仿宋" w:hAnsi="仿宋" w:eastAsia="仿宋" w:cs="华文仿宋"/>
          <w:sz w:val="32"/>
          <w:szCs w:val="32"/>
          <w:lang w:val="en-US"/>
        </w:rPr>
        <w:t>1.收费标准</w:t>
      </w:r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  <w:lang w:val="en-US"/>
        </w:rPr>
      </w:pPr>
      <w:r>
        <w:rPr>
          <w:rFonts w:ascii="仿宋" w:hAnsi="仿宋" w:eastAsia="仿宋" w:cs="华文仿宋"/>
          <w:sz w:val="32"/>
          <w:szCs w:val="32"/>
        </w:rPr>
        <w:t>培训费：人民币</w:t>
      </w:r>
      <w:r>
        <w:rPr>
          <w:rFonts w:hint="default" w:ascii="仿宋" w:hAnsi="仿宋" w:eastAsia="仿宋" w:cs="华文仿宋"/>
          <w:sz w:val="32"/>
          <w:szCs w:val="32"/>
          <w:lang w:val="en-US"/>
        </w:rPr>
        <w:t>48</w:t>
      </w:r>
      <w:r>
        <w:rPr>
          <w:rFonts w:ascii="仿宋" w:hAnsi="仿宋" w:eastAsia="仿宋" w:cs="华文仿宋"/>
          <w:sz w:val="32"/>
          <w:szCs w:val="32"/>
          <w:lang w:val="en-US"/>
        </w:rPr>
        <w:t>00</w:t>
      </w:r>
      <w:r>
        <w:rPr>
          <w:rFonts w:ascii="仿宋" w:hAnsi="仿宋" w:eastAsia="仿宋" w:cs="华文仿宋"/>
          <w:sz w:val="32"/>
          <w:szCs w:val="32"/>
        </w:rPr>
        <w:t>元/人</w:t>
      </w:r>
      <w:r>
        <w:rPr>
          <w:rFonts w:ascii="仿宋" w:hAnsi="仿宋" w:eastAsia="仿宋" w:cs="华文仿宋"/>
          <w:sz w:val="32"/>
          <w:szCs w:val="32"/>
          <w:lang w:val="en-US"/>
        </w:rPr>
        <w:t>（不含食宿）。</w:t>
      </w:r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  <w:lang w:val="en-US"/>
        </w:rPr>
      </w:pPr>
      <w:r>
        <w:rPr>
          <w:rFonts w:ascii="仿宋" w:hAnsi="仿宋" w:eastAsia="仿宋" w:cs="华文仿宋"/>
          <w:sz w:val="32"/>
          <w:szCs w:val="32"/>
          <w:lang w:val="en-US"/>
        </w:rPr>
        <w:t>食宿费：住宿房型、食宿标准以及支付方式详见开课通知。</w:t>
      </w:r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  <w:lang w:val="en-US"/>
        </w:rPr>
      </w:pPr>
      <w:r>
        <w:rPr>
          <w:rFonts w:ascii="仿宋" w:hAnsi="仿宋" w:eastAsia="仿宋" w:cs="华文仿宋"/>
          <w:sz w:val="32"/>
          <w:szCs w:val="32"/>
          <w:lang w:val="en-US"/>
        </w:rPr>
        <w:t>2.缴费方式</w:t>
      </w:r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  <w:lang w:val="en-US"/>
        </w:rPr>
      </w:pPr>
      <w:r>
        <w:rPr>
          <w:rFonts w:ascii="仿宋" w:hAnsi="仿宋" w:eastAsia="仿宋" w:cs="华文仿宋"/>
          <w:sz w:val="32"/>
          <w:szCs w:val="32"/>
          <w:lang w:val="en-US"/>
        </w:rPr>
        <w:t>学员报到时可现场刷储蓄卡、信用卡或者通过微信扫码、银行汇款等方式支付培训费。扫码支付可立即开具电子发票。</w:t>
      </w:r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  <w:lang w:val="en-US"/>
        </w:rPr>
      </w:pPr>
      <w:r>
        <w:rPr>
          <w:rFonts w:ascii="仿宋" w:hAnsi="仿宋" w:eastAsia="仿宋" w:cs="华文仿宋"/>
          <w:sz w:val="32"/>
          <w:szCs w:val="32"/>
          <w:lang w:val="en-US"/>
        </w:rPr>
        <w:t>汇款信息如下：</w:t>
      </w:r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</w:rPr>
      </w:pPr>
      <w:r>
        <w:rPr>
          <w:rFonts w:ascii="仿宋" w:hAnsi="仿宋" w:eastAsia="仿宋" w:cs="华文仿宋"/>
          <w:sz w:val="32"/>
          <w:szCs w:val="32"/>
        </w:rPr>
        <w:t>单位名称：北京国家会计学院</w:t>
      </w:r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</w:rPr>
      </w:pPr>
      <w:r>
        <w:rPr>
          <w:rFonts w:ascii="仿宋" w:hAnsi="仿宋" w:eastAsia="仿宋" w:cs="华文仿宋"/>
          <w:sz w:val="32"/>
          <w:szCs w:val="32"/>
        </w:rPr>
        <w:t>汇款账号：1100 1020 1000 5603 0985</w:t>
      </w:r>
    </w:p>
    <w:p>
      <w:pPr>
        <w:pStyle w:val="14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</w:rPr>
      </w:pPr>
      <w:r>
        <w:rPr>
          <w:rFonts w:ascii="仿宋" w:hAnsi="仿宋" w:eastAsia="仿宋" w:cs="华文仿宋"/>
          <w:sz w:val="32"/>
          <w:szCs w:val="32"/>
        </w:rPr>
        <w:t>开户行：中国建设银行北京天竺支行（201）</w:t>
      </w:r>
    </w:p>
    <w:p>
      <w:pPr>
        <w:pStyle w:val="14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3" w:firstLineChars="200"/>
        <w:jc w:val="both"/>
        <w:rPr>
          <w:rFonts w:hint="default" w:ascii="仿宋" w:hAnsi="仿宋" w:eastAsia="仿宋" w:cs="华文仿宋"/>
          <w:sz w:val="32"/>
          <w:szCs w:val="32"/>
          <w:lang w:val="en-US"/>
        </w:rPr>
      </w:pPr>
      <w:r>
        <w:rPr>
          <w:rFonts w:hint="default" w:ascii="仿宋" w:hAnsi="仿宋" w:eastAsia="仿宋" w:cs="华文仿宋"/>
          <w:b/>
          <w:bCs/>
          <w:sz w:val="32"/>
          <w:szCs w:val="32"/>
          <w:lang w:val="en-US"/>
        </w:rPr>
        <w:t>特别提示：</w:t>
      </w:r>
      <w:r>
        <w:rPr>
          <w:rFonts w:ascii="仿宋" w:hAnsi="仿宋" w:eastAsia="仿宋" w:cs="华文仿宋"/>
          <w:sz w:val="32"/>
          <w:szCs w:val="32"/>
          <w:lang w:val="en-US"/>
        </w:rPr>
        <w:t>培训班如确定开班，学院将在开班前一周给学员发送《开课通知》。</w:t>
      </w:r>
      <w:r>
        <w:rPr>
          <w:rFonts w:hint="default" w:ascii="仿宋" w:hAnsi="仿宋" w:eastAsia="仿宋" w:cs="华文仿宋"/>
          <w:sz w:val="32"/>
          <w:szCs w:val="32"/>
          <w:lang w:val="en-US"/>
        </w:rPr>
        <w:t>如因报名人数</w:t>
      </w:r>
      <w:r>
        <w:rPr>
          <w:rFonts w:ascii="仿宋" w:hAnsi="仿宋" w:eastAsia="仿宋" w:cs="华文仿宋"/>
          <w:sz w:val="32"/>
          <w:szCs w:val="32"/>
          <w:lang w:val="en-US"/>
        </w:rPr>
        <w:t>低于</w:t>
      </w:r>
      <w:r>
        <w:rPr>
          <w:rFonts w:hint="default" w:ascii="仿宋" w:hAnsi="仿宋" w:eastAsia="仿宋" w:cs="华文仿宋"/>
          <w:sz w:val="32"/>
          <w:szCs w:val="32"/>
          <w:lang w:val="en-US"/>
        </w:rPr>
        <w:t>开班人数要求，</w:t>
      </w:r>
      <w:r>
        <w:rPr>
          <w:rFonts w:ascii="仿宋" w:hAnsi="仿宋" w:eastAsia="仿宋" w:cs="华文仿宋"/>
          <w:sz w:val="32"/>
          <w:szCs w:val="32"/>
          <w:lang w:val="en-US"/>
        </w:rPr>
        <w:t>学院</w:t>
      </w:r>
      <w:r>
        <w:rPr>
          <w:rFonts w:hint="default" w:ascii="仿宋" w:hAnsi="仿宋" w:eastAsia="仿宋" w:cs="华文仿宋"/>
          <w:sz w:val="32"/>
          <w:szCs w:val="32"/>
          <w:lang w:val="en-US"/>
        </w:rPr>
        <w:t>有权取消该班</w:t>
      </w:r>
      <w:r>
        <w:rPr>
          <w:rFonts w:ascii="仿宋" w:hAnsi="仿宋" w:eastAsia="仿宋" w:cs="华文仿宋"/>
          <w:sz w:val="32"/>
          <w:szCs w:val="32"/>
          <w:lang w:val="en-US"/>
        </w:rPr>
        <w:t>，</w:t>
      </w:r>
      <w:r>
        <w:rPr>
          <w:rFonts w:hint="default" w:ascii="仿宋" w:hAnsi="仿宋" w:eastAsia="仿宋" w:cs="华文仿宋"/>
          <w:sz w:val="32"/>
          <w:szCs w:val="32"/>
          <w:lang w:val="en-US"/>
        </w:rPr>
        <w:t>对学员已缴纳的费用予以全额退还，但不承担任何赔偿。对任何因信赖该班可以如期举行而导致的任何直接、间接损失，包括但不限于差旅费损失、误工费损失等，</w:t>
      </w:r>
      <w:r>
        <w:rPr>
          <w:rFonts w:ascii="仿宋" w:hAnsi="仿宋" w:eastAsia="仿宋" w:cs="华文仿宋"/>
          <w:sz w:val="32"/>
          <w:szCs w:val="32"/>
          <w:lang w:val="en-US"/>
        </w:rPr>
        <w:t>学院</w:t>
      </w:r>
      <w:r>
        <w:rPr>
          <w:rFonts w:hint="default" w:ascii="仿宋" w:hAnsi="仿宋" w:eastAsia="仿宋" w:cs="华文仿宋"/>
          <w:sz w:val="32"/>
          <w:szCs w:val="32"/>
          <w:lang w:val="en-US"/>
        </w:rPr>
        <w:t>均不承担法律责任。</w:t>
      </w:r>
    </w:p>
    <w:p>
      <w:pPr>
        <w:spacing w:line="360" w:lineRule="auto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七、联系我们</w:t>
      </w:r>
    </w:p>
    <w:p>
      <w:pPr>
        <w:widowControl/>
        <w:shd w:val="clear" w:color="auto" w:fill="FFFFFF"/>
        <w:spacing w:line="360" w:lineRule="auto"/>
        <w:ind w:firstLine="660" w:firstLineChars="200"/>
        <w:rPr>
          <w:rFonts w:ascii="仿宋" w:hAnsi="仿宋" w:eastAsia="仿宋" w:cs="华文仿宋"/>
          <w:spacing w:val="5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spacing w:val="5"/>
          <w:kern w:val="0"/>
          <w:sz w:val="32"/>
          <w:szCs w:val="32"/>
        </w:rPr>
        <w:t>联系人：邱老师</w:t>
      </w:r>
    </w:p>
    <w:p>
      <w:pPr>
        <w:widowControl/>
        <w:shd w:val="clear" w:color="auto" w:fill="FFFFFF"/>
        <w:spacing w:line="360" w:lineRule="auto"/>
        <w:ind w:firstLine="660" w:firstLineChars="200"/>
        <w:rPr>
          <w:rFonts w:ascii="仿宋" w:hAnsi="仿宋" w:eastAsia="仿宋" w:cs="华文仿宋"/>
          <w:spacing w:val="5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spacing w:val="5"/>
          <w:kern w:val="0"/>
          <w:sz w:val="32"/>
          <w:szCs w:val="32"/>
        </w:rPr>
        <w:t>电话：010-645050</w:t>
      </w:r>
      <w:r>
        <w:rPr>
          <w:rFonts w:ascii="仿宋" w:hAnsi="仿宋" w:eastAsia="仿宋" w:cs="华文仿宋"/>
          <w:spacing w:val="5"/>
          <w:kern w:val="0"/>
          <w:sz w:val="32"/>
          <w:szCs w:val="32"/>
        </w:rPr>
        <w:t>46</w:t>
      </w:r>
    </w:p>
    <w:p>
      <w:pPr>
        <w:widowControl/>
        <w:shd w:val="clear" w:color="auto" w:fill="FFFFFF"/>
        <w:spacing w:line="360" w:lineRule="auto"/>
        <w:ind w:firstLine="660" w:firstLineChars="200"/>
        <w:rPr>
          <w:rFonts w:ascii="仿宋" w:hAnsi="仿宋" w:eastAsia="仿宋" w:cs="华文仿宋"/>
          <w:spacing w:val="5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spacing w:val="5"/>
          <w:kern w:val="0"/>
          <w:sz w:val="32"/>
          <w:szCs w:val="32"/>
        </w:rPr>
        <w:t>邮箱：</w:t>
      </w:r>
      <w:r>
        <w:rPr>
          <w:rFonts w:ascii="仿宋" w:hAnsi="仿宋" w:eastAsia="仿宋" w:cs="华文仿宋"/>
          <w:spacing w:val="5"/>
          <w:kern w:val="0"/>
          <w:sz w:val="32"/>
          <w:szCs w:val="32"/>
        </w:rPr>
        <w:t>qiucc</w:t>
      </w:r>
      <w:r>
        <w:rPr>
          <w:rFonts w:hint="eastAsia" w:ascii="仿宋" w:hAnsi="仿宋" w:eastAsia="仿宋" w:cs="华文仿宋"/>
          <w:spacing w:val="5"/>
          <w:kern w:val="0"/>
          <w:sz w:val="32"/>
          <w:szCs w:val="32"/>
        </w:rPr>
        <w:t>@</w:t>
      </w:r>
      <w:r>
        <w:rPr>
          <w:rFonts w:ascii="仿宋" w:hAnsi="仿宋" w:eastAsia="仿宋" w:cs="华文仿宋"/>
          <w:spacing w:val="5"/>
          <w:kern w:val="0"/>
          <w:sz w:val="32"/>
          <w:szCs w:val="32"/>
        </w:rPr>
        <w:t>mail.</w:t>
      </w:r>
      <w:r>
        <w:rPr>
          <w:rFonts w:hint="eastAsia" w:ascii="仿宋" w:hAnsi="仿宋" w:eastAsia="仿宋" w:cs="华文仿宋"/>
          <w:spacing w:val="5"/>
          <w:kern w:val="0"/>
          <w:sz w:val="32"/>
          <w:szCs w:val="32"/>
        </w:rPr>
        <w:t>nai.</w:t>
      </w:r>
      <w:r>
        <w:rPr>
          <w:rFonts w:ascii="仿宋" w:hAnsi="仿宋" w:eastAsia="仿宋" w:cs="华文仿宋"/>
          <w:spacing w:val="5"/>
          <w:kern w:val="0"/>
          <w:sz w:val="32"/>
          <w:szCs w:val="32"/>
        </w:rPr>
        <w:t>edu.cn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NWU3ZWNiMzgzNzAwZWVhYzBhOWY3ZTkwYzQyMjUifQ=="/>
  </w:docVars>
  <w:rsids>
    <w:rsidRoot w:val="1B927997"/>
    <w:rsid w:val="00060098"/>
    <w:rsid w:val="00093CFB"/>
    <w:rsid w:val="000A7EA1"/>
    <w:rsid w:val="0012146F"/>
    <w:rsid w:val="001457F1"/>
    <w:rsid w:val="00181B3D"/>
    <w:rsid w:val="00196025"/>
    <w:rsid w:val="001E04D7"/>
    <w:rsid w:val="00245A90"/>
    <w:rsid w:val="002F1895"/>
    <w:rsid w:val="00364F0F"/>
    <w:rsid w:val="003A686E"/>
    <w:rsid w:val="003F5246"/>
    <w:rsid w:val="0040799D"/>
    <w:rsid w:val="00455E39"/>
    <w:rsid w:val="0045737F"/>
    <w:rsid w:val="00606845"/>
    <w:rsid w:val="00670543"/>
    <w:rsid w:val="006765AD"/>
    <w:rsid w:val="00694325"/>
    <w:rsid w:val="00701B86"/>
    <w:rsid w:val="0082011F"/>
    <w:rsid w:val="0088010D"/>
    <w:rsid w:val="008B10A8"/>
    <w:rsid w:val="00921F4A"/>
    <w:rsid w:val="0093478C"/>
    <w:rsid w:val="009C71E0"/>
    <w:rsid w:val="00A02F78"/>
    <w:rsid w:val="00A15FB9"/>
    <w:rsid w:val="00A31BB2"/>
    <w:rsid w:val="00B575A1"/>
    <w:rsid w:val="00D37C0F"/>
    <w:rsid w:val="00E02091"/>
    <w:rsid w:val="00F561D9"/>
    <w:rsid w:val="00F563F5"/>
    <w:rsid w:val="00F64CCC"/>
    <w:rsid w:val="01590D50"/>
    <w:rsid w:val="03A4089B"/>
    <w:rsid w:val="082B21CD"/>
    <w:rsid w:val="0A745D33"/>
    <w:rsid w:val="0EE50085"/>
    <w:rsid w:val="14926D30"/>
    <w:rsid w:val="154A7127"/>
    <w:rsid w:val="159F6791"/>
    <w:rsid w:val="18950C1D"/>
    <w:rsid w:val="1B8C702D"/>
    <w:rsid w:val="1B927997"/>
    <w:rsid w:val="21752C6A"/>
    <w:rsid w:val="2D5E3FF4"/>
    <w:rsid w:val="2DEC28E0"/>
    <w:rsid w:val="34DC5032"/>
    <w:rsid w:val="36B12BB1"/>
    <w:rsid w:val="3F8A6E6E"/>
    <w:rsid w:val="41E73E41"/>
    <w:rsid w:val="43255E5C"/>
    <w:rsid w:val="439B60C9"/>
    <w:rsid w:val="4DFD03C3"/>
    <w:rsid w:val="521B5645"/>
    <w:rsid w:val="52D40D60"/>
    <w:rsid w:val="5364260C"/>
    <w:rsid w:val="559162EC"/>
    <w:rsid w:val="583801FC"/>
    <w:rsid w:val="62EF46EC"/>
    <w:rsid w:val="64AC4CC1"/>
    <w:rsid w:val="66B108E6"/>
    <w:rsid w:val="6A9E69FE"/>
    <w:rsid w:val="6EDA5BDB"/>
    <w:rsid w:val="709905BC"/>
    <w:rsid w:val="72F3061A"/>
    <w:rsid w:val="76442A34"/>
    <w:rsid w:val="76764E51"/>
    <w:rsid w:val="792A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16"/>
    <w:qFormat/>
    <w:uiPriority w:val="0"/>
    <w:pPr>
      <w:jc w:val="left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5"/>
    <w:next w:val="5"/>
    <w:link w:val="17"/>
    <w:qFormat/>
    <w:uiPriority w:val="0"/>
    <w:rPr>
      <w:b/>
      <w:bCs/>
    </w:r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paragraph" w:customStyle="1" w:styleId="14">
    <w:name w:val="默认"/>
    <w:qFormat/>
    <w:uiPriority w:val="0"/>
    <w:pPr>
      <w:spacing w:before="160"/>
    </w:pPr>
    <w:rPr>
      <w:rFonts w:hint="eastAsia" w:ascii="Arial Unicode MS" w:hAnsi="Arial Unicode MS" w:eastAsia="Helvetica Neue" w:cs="Arial Unicode MS"/>
      <w:color w:val="000000"/>
      <w:sz w:val="24"/>
      <w:szCs w:val="24"/>
      <w:lang w:val="zh-CN" w:eastAsia="zh-CN" w:bidi="ar-SA"/>
    </w:rPr>
  </w:style>
  <w:style w:type="paragraph" w:customStyle="1" w:styleId="1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6">
    <w:name w:val="批注文字 字符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字符"/>
    <w:basedOn w:val="16"/>
    <w:link w:val="9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317</Words>
  <Characters>1813</Characters>
  <Lines>15</Lines>
  <Paragraphs>4</Paragraphs>
  <TotalTime>542</TotalTime>
  <ScaleCrop>false</ScaleCrop>
  <LinksUpToDate>false</LinksUpToDate>
  <CharactersWithSpaces>2126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2023-03-09T02:58:00Z</dcterms:created>
  <dc:creator>李青</dc:creator>
  <cp:lastModifiedBy>姜xiaomao</cp:lastModifiedBy>
  <cp:lastPrinted>2023-03-13T08:17:00Z</cp:lastPrinted>
  <dcterms:modified xsi:type="dcterms:W3CDTF">2023-04-20T07:25:58Z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2EA997AB793B425486E46A6000F35648</vt:lpwstr>
  </property>
</Properties>
</file>