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5A" w:rsidRDefault="00060C25">
      <w:pPr>
        <w:widowControl/>
        <w:spacing w:before="240" w:after="240"/>
        <w:jc w:val="center"/>
        <w:outlineLvl w:val="2"/>
        <w:rPr>
          <w:rFonts w:ascii="仿宋" w:eastAsia="仿宋" w:hAnsi="仿宋" w:cs="宋体"/>
          <w:b/>
          <w:bCs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北京国家会计学院 中兴新</w:t>
      </w:r>
      <w:proofErr w:type="gramStart"/>
      <w:r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云服务</w:t>
      </w:r>
      <w:proofErr w:type="gramEnd"/>
      <w:r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有限公司</w:t>
      </w:r>
    </w:p>
    <w:p w:rsidR="00097A5A" w:rsidRDefault="00060C25">
      <w:pPr>
        <w:widowControl/>
        <w:spacing w:before="240" w:after="240"/>
        <w:jc w:val="center"/>
        <w:outlineLvl w:val="2"/>
        <w:rPr>
          <w:rFonts w:ascii="仿宋" w:eastAsia="仿宋" w:hAnsi="仿宋" w:cs="宋体"/>
          <w:b/>
          <w:bCs/>
          <w:kern w:val="0"/>
          <w:sz w:val="36"/>
          <w:szCs w:val="36"/>
        </w:rPr>
      </w:pPr>
      <w:r>
        <w:rPr>
          <w:rFonts w:ascii="仿宋" w:eastAsia="仿宋" w:hAnsi="仿宋" w:cs="宋体"/>
          <w:b/>
          <w:bCs/>
          <w:kern w:val="0"/>
          <w:sz w:val="36"/>
          <w:szCs w:val="36"/>
        </w:rPr>
        <w:t>“</w:t>
      </w:r>
      <w:r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数智财务高端人才研修项目</w:t>
      </w:r>
      <w:r>
        <w:rPr>
          <w:rFonts w:ascii="仿宋" w:eastAsia="仿宋" w:hAnsi="仿宋" w:cs="宋体"/>
          <w:b/>
          <w:bCs/>
          <w:kern w:val="0"/>
          <w:sz w:val="36"/>
          <w:szCs w:val="36"/>
        </w:rPr>
        <w:t>”</w:t>
      </w:r>
    </w:p>
    <w:p w:rsidR="00097A5A" w:rsidRDefault="00060C25">
      <w:pPr>
        <w:widowControl/>
        <w:spacing w:before="240" w:after="240"/>
        <w:jc w:val="center"/>
        <w:outlineLvl w:val="2"/>
        <w:rPr>
          <w:rFonts w:ascii="仿宋" w:eastAsia="仿宋" w:hAnsi="仿宋" w:cs="宋体"/>
          <w:b/>
          <w:bCs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招生简章</w:t>
      </w:r>
    </w:p>
    <w:p w:rsidR="00097A5A" w:rsidRDefault="00060C25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一、培训背景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“十四五”时期，会计改革与发展进入以变革融合、提质增效为特征的新阶段，“大、智、移、云”等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新兴数智化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技术推动财务人员从传统核算型会计向管理型、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数智型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财务迭代转变。新一代会计高端人才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以数智化技术为支撑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，推动会计工作与经营管理工作深度融合，并借此实现财务职能拓展升级，极大增强了财务工作服务经济高质量发展的效能。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北京国家会计学院在中国率先开展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了数智财会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高端人才的培养工作。如今，面向数字经济的财务人才需求特征，在总结学院为国家部委和大型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央企培养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高端财经人才项目经验的基础上,联合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我国数智财会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领军企业——深圳中兴新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云服务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有限公司，强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联合，理论与实践并重，聚焦行业先进财务管理实践、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数智财务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知识体系与标杆案例，共同推出“数智财务高端人才”研修项目。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项目按照宽视野、高标准、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强质量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的理念，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探索数智财务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的应用现状及发展趋势，以行业发展和市场需求为导向，以高级财经管理人员能力提升为重点，着力为大中型企事业单位培养一批精通数字财务管理能力、智能财务运营能力、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智能数据分析能力、智能工具应用能力、兼具管理创新能力和社会责任感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的数智财务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高端人才，更好地服务经济社会高质量发展和财政会计改革。</w:t>
      </w:r>
    </w:p>
    <w:p w:rsidR="00097A5A" w:rsidRDefault="00060C25">
      <w:pPr>
        <w:adjustRightInd w:val="0"/>
        <w:snapToGrid w:val="0"/>
        <w:spacing w:beforeLines="50" w:before="156"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二、培训对象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大中型企业、政府机关、事业单位、金融机构、会计师事务所及其他从事财务、审计、数据治理、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数智化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建设等相关工作的高级管理人员。</w:t>
      </w:r>
    </w:p>
    <w:p w:rsidR="00097A5A" w:rsidRDefault="00060C25">
      <w:pPr>
        <w:adjustRightInd w:val="0"/>
        <w:snapToGrid w:val="0"/>
        <w:spacing w:beforeLines="50" w:before="156"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</w:t>
      </w:r>
      <w:r>
        <w:rPr>
          <w:rFonts w:ascii="仿宋" w:eastAsia="仿宋" w:hAnsi="仿宋" w:cs="仿宋"/>
          <w:b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sz w:val="32"/>
          <w:szCs w:val="32"/>
        </w:rPr>
        <w:t>培训方式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“数智财务高端人才”项目构建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了数智财务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人才培养能力框架体系。项目采取课堂讲授+案例教学的先进教学模式，以现实需求场景为导向，将理论与实务相结合，将会计、金融与人工智能等前沿学科进行跨学科融合，汇集顶级学术资源，提供前沿、交叉和创新的优质课程，促进新兴技术与传统会计和金融知识的融合，更好适应新质生产力及数字经济发展的要求，助力组织高质量发展。</w:t>
      </w:r>
    </w:p>
    <w:p w:rsidR="00097A5A" w:rsidRDefault="00060C25">
      <w:pPr>
        <w:adjustRightInd w:val="0"/>
        <w:snapToGrid w:val="0"/>
        <w:spacing w:beforeLines="50" w:before="156"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四、培训内容</w:t>
      </w:r>
    </w:p>
    <w:p w:rsidR="00097A5A" w:rsidRDefault="00060C25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模块一、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数智财务</w:t>
      </w:r>
      <w:proofErr w:type="gramEnd"/>
      <w:r>
        <w:rPr>
          <w:rFonts w:ascii="仿宋" w:eastAsia="仿宋" w:hAnsi="仿宋" w:cs="仿宋" w:hint="eastAsia"/>
          <w:b/>
          <w:sz w:val="32"/>
          <w:szCs w:val="32"/>
        </w:rPr>
        <w:t>与价值创造</w:t>
      </w:r>
    </w:p>
    <w:p w:rsidR="00097A5A" w:rsidRDefault="00060C25">
      <w:pPr>
        <w:numPr>
          <w:ilvl w:val="0"/>
          <w:numId w:val="1"/>
        </w:numPr>
        <w:adjustRightInd w:val="0"/>
        <w:snapToGrid w:val="0"/>
        <w:spacing w:line="360" w:lineRule="auto"/>
        <w:ind w:firstLineChars="400" w:firstLine="1280"/>
        <w:rPr>
          <w:rFonts w:ascii="仿宋" w:eastAsia="仿宋" w:hAnsi="仿宋" w:cs="仿宋"/>
          <w:sz w:val="32"/>
          <w:szCs w:val="32"/>
        </w:rPr>
      </w:pPr>
      <w:bookmarkStart w:id="0" w:name="OLE_LINK1"/>
      <w:proofErr w:type="gramStart"/>
      <w:r>
        <w:rPr>
          <w:rFonts w:ascii="仿宋" w:eastAsia="仿宋" w:hAnsi="仿宋" w:cs="仿宋" w:hint="eastAsia"/>
          <w:sz w:val="32"/>
          <w:szCs w:val="32"/>
        </w:rPr>
        <w:t>数智财务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顶层设计</w:t>
      </w:r>
    </w:p>
    <w:p w:rsidR="00097A5A" w:rsidRDefault="00060C25">
      <w:pPr>
        <w:numPr>
          <w:ilvl w:val="0"/>
          <w:numId w:val="1"/>
        </w:numPr>
        <w:adjustRightInd w:val="0"/>
        <w:snapToGrid w:val="0"/>
        <w:spacing w:line="360" w:lineRule="auto"/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会计与价值创造</w:t>
      </w:r>
    </w:p>
    <w:p w:rsidR="00097A5A" w:rsidRDefault="00060C25">
      <w:pPr>
        <w:numPr>
          <w:ilvl w:val="0"/>
          <w:numId w:val="1"/>
        </w:numPr>
        <w:adjustRightInd w:val="0"/>
        <w:snapToGrid w:val="0"/>
        <w:spacing w:line="360" w:lineRule="auto"/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财务数据治理与数据价值链</w:t>
      </w:r>
    </w:p>
    <w:bookmarkEnd w:id="0"/>
    <w:p w:rsidR="00097A5A" w:rsidRDefault="00060C25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模块二、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财务数智化</w:t>
      </w:r>
      <w:proofErr w:type="gramEnd"/>
      <w:r>
        <w:rPr>
          <w:rFonts w:ascii="仿宋" w:eastAsia="仿宋" w:hAnsi="仿宋" w:cs="仿宋" w:hint="eastAsia"/>
          <w:b/>
          <w:sz w:val="32"/>
          <w:szCs w:val="32"/>
        </w:rPr>
        <w:t>应用场景</w:t>
      </w:r>
    </w:p>
    <w:p w:rsidR="00097A5A" w:rsidRDefault="00060C25">
      <w:pPr>
        <w:numPr>
          <w:ilvl w:val="0"/>
          <w:numId w:val="2"/>
        </w:numPr>
        <w:adjustRightInd w:val="0"/>
        <w:snapToGrid w:val="0"/>
        <w:spacing w:line="360" w:lineRule="auto"/>
        <w:ind w:firstLineChars="400" w:firstLine="128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智能共享与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司库数智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化应用实践</w:t>
      </w:r>
    </w:p>
    <w:p w:rsidR="00097A5A" w:rsidRDefault="00060C25">
      <w:pPr>
        <w:numPr>
          <w:ilvl w:val="0"/>
          <w:numId w:val="2"/>
        </w:numPr>
        <w:adjustRightInd w:val="0"/>
        <w:snapToGrid w:val="0"/>
        <w:spacing w:line="360" w:lineRule="auto"/>
        <w:ind w:firstLineChars="400" w:firstLine="1280"/>
        <w:rPr>
          <w:rFonts w:ascii="仿宋" w:eastAsia="仿宋" w:hAnsi="仿宋" w:cs="仿宋"/>
          <w:bCs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税务数智化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与战略纳税风险管理</w:t>
      </w:r>
    </w:p>
    <w:p w:rsidR="00097A5A" w:rsidRDefault="00060C25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仿宋"/>
          <w:bCs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模块三、以人工智能为代表的技术在财务管理领域的应用与实践</w:t>
      </w:r>
    </w:p>
    <w:p w:rsidR="00097A5A" w:rsidRDefault="00060C25">
      <w:pPr>
        <w:numPr>
          <w:ilvl w:val="0"/>
          <w:numId w:val="3"/>
        </w:numPr>
        <w:adjustRightInd w:val="0"/>
        <w:snapToGrid w:val="0"/>
        <w:spacing w:line="360" w:lineRule="auto"/>
        <w:ind w:firstLineChars="400" w:firstLine="128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大模型在财务领域的应用</w:t>
      </w:r>
    </w:p>
    <w:p w:rsidR="00097A5A" w:rsidRDefault="00060C25">
      <w:pPr>
        <w:numPr>
          <w:ilvl w:val="0"/>
          <w:numId w:val="3"/>
        </w:numPr>
        <w:adjustRightInd w:val="0"/>
        <w:snapToGrid w:val="0"/>
        <w:spacing w:line="360" w:lineRule="auto"/>
        <w:ind w:firstLineChars="400" w:firstLine="128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数字孪生创新应用与实践</w:t>
      </w:r>
    </w:p>
    <w:p w:rsidR="00097A5A" w:rsidRDefault="00060C25">
      <w:pPr>
        <w:numPr>
          <w:ilvl w:val="0"/>
          <w:numId w:val="3"/>
        </w:numPr>
        <w:adjustRightInd w:val="0"/>
        <w:snapToGrid w:val="0"/>
        <w:spacing w:line="360" w:lineRule="auto"/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其他智能化技术应用</w:t>
      </w:r>
    </w:p>
    <w:p w:rsidR="00097A5A" w:rsidRDefault="00060C25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模块四、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数智财务</w:t>
      </w:r>
      <w:proofErr w:type="gramEnd"/>
      <w:r>
        <w:rPr>
          <w:rFonts w:ascii="仿宋" w:eastAsia="仿宋" w:hAnsi="仿宋" w:cs="仿宋" w:hint="eastAsia"/>
          <w:b/>
          <w:sz w:val="32"/>
          <w:szCs w:val="32"/>
        </w:rPr>
        <w:t>在企业运营管理最佳实践案例</w:t>
      </w:r>
    </w:p>
    <w:p w:rsidR="00097A5A" w:rsidRDefault="00060C25">
      <w:pPr>
        <w:adjustRightInd w:val="0"/>
        <w:snapToGrid w:val="0"/>
        <w:spacing w:beforeLines="50" w:before="156"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</w:t>
      </w:r>
      <w:r>
        <w:rPr>
          <w:rFonts w:ascii="仿宋" w:eastAsia="仿宋" w:hAnsi="仿宋" w:cs="仿宋"/>
          <w:b/>
          <w:sz w:val="32"/>
          <w:szCs w:val="32"/>
        </w:rPr>
        <w:t>、师资力量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授课师资由政府部门的政策制定者、高校科研院所的知名教授、央国企实务界的资深专家以及国内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头部数智财务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标杆企业研究团队等组成，皆具有深厚理论功底及丰富实践经验。拟聘师资如下：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叶康涛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，现任北京国家会计学院党委副书记、副院长，博士生导师，曾入选“长江学者奖励计划”青年学者、财政部全国会计领军人才培养工程特殊支持计划，曾任中国人民大学副校长，兼任全国数字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经济教指委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副主任委员、中国教育审计学会会长。叶康涛院长是知名会计学家，曾主持国家自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科基金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项目等多项国家级、省部级科研项目，在《经济研究》、《管理世界》、Management Science、Accounting Review等顶级国内外学术刊物发表论文五十余篇，在国内较早系统提出会计的价值创造功能。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聂兴凯，北京国家会计学院教授、会计系主任、智能财务与控制研究中心主任，财政部第三届企业会计准则咨询委员会委员。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张敏，中国人民大学商学院教授，博士生导师，会计系主任，中国人民大学吴玉章特聘教授，中国人民大学商学院“教学杰出教授”，中国注册会计师协会专业指导委员会委员。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何涛，中国海洋石油集团财务共享中心党委书记、主任，正高级会计师 。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朱吉好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，中国石油集团财务部财务数字信息处处长，高级会计师，负责中石油集团财务信息化建设及财务数字化转型推进工作。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虎，中兴新云总裁。清华大学经济管理学院博士后，中国注册会计师、特许公认会计师（ACCA），财政部会计信息化委员会咨询专家、财政部管理会计咨询专家、中国成本研究会理事、中国会计学会理事、会计信息化专业委员会委员。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孙彦丛，中兴新云高级副总裁。中国注册会计师，财政部内部控制标准委员会咨询专家。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郭奕，中兴新云高级副总裁。中国医药会计学会高级研究员，深圳经济特区建立40周年优秀会计工作者。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具体师资安排详见每一期开课通知。</w:t>
      </w:r>
    </w:p>
    <w:p w:rsidR="00097A5A" w:rsidRDefault="00060C25">
      <w:pPr>
        <w:adjustRightInd w:val="0"/>
        <w:snapToGrid w:val="0"/>
        <w:spacing w:beforeLines="50" w:before="156"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六、培训特色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（一）课堂学习与结构化研讨相结合，提高学员分析问题、解决问题的能力，达到聚焦问题、主动思考的目的；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（二）政策理论讲解与案例教学相结合，以例说理，帮助学员借鉴标杆企业成功经验，创新应用于本单位实践；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（三）实践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学与学术沙龙相结合，掌握数智会计前沿方向与最新应用，参访国家级数智会计应用展厅；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（四）培养面向数字经济时代具有全球影响力的新型高级管理人员，致力于打造服务企业发展、分享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数智管理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智慧的国际化高端人才交流平台。</w:t>
      </w:r>
    </w:p>
    <w:p w:rsidR="00097A5A" w:rsidRDefault="00060C25">
      <w:pPr>
        <w:adjustRightInd w:val="0"/>
        <w:snapToGrid w:val="0"/>
        <w:spacing w:beforeLines="50" w:before="156"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七、时间地点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54"/>
        <w:gridCol w:w="2164"/>
        <w:gridCol w:w="2449"/>
        <w:gridCol w:w="1666"/>
        <w:gridCol w:w="857"/>
        <w:tblGridChange w:id="1">
          <w:tblGrid>
            <w:gridCol w:w="1154"/>
            <w:gridCol w:w="2164"/>
            <w:gridCol w:w="2449"/>
            <w:gridCol w:w="1666"/>
            <w:gridCol w:w="857"/>
          </w:tblGrid>
        </w:tblGridChange>
      </w:tblGrid>
      <w:tr w:rsidR="00097A5A" w:rsidTr="00932ECB">
        <w:trPr>
          <w:jc w:val="center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5A" w:rsidRDefault="00060C2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期数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A5A" w:rsidRDefault="00060C2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报到时间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A5A" w:rsidRDefault="00060C2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培训时间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5A" w:rsidRDefault="00060C2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返程时间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5A" w:rsidRDefault="00060C2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地点</w:t>
            </w:r>
          </w:p>
        </w:tc>
      </w:tr>
      <w:tr w:rsidR="00097A5A" w:rsidTr="00932ECB">
        <w:trPr>
          <w:jc w:val="center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5A" w:rsidRDefault="00060C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第1期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A5A" w:rsidRDefault="00060C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2025年3月15日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A5A" w:rsidRDefault="00060C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3月16-18日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5A" w:rsidRDefault="00060C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3月19日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5A" w:rsidRDefault="00932E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</w:t>
            </w:r>
          </w:p>
        </w:tc>
      </w:tr>
      <w:tr w:rsidR="00097A5A" w:rsidTr="00932ECB">
        <w:trPr>
          <w:jc w:val="center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5A" w:rsidRDefault="00060C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第2期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A5A" w:rsidRDefault="00060C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2025年5月18日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A5A" w:rsidRDefault="00060C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5月19-21日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5A" w:rsidRDefault="00060C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5月22日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5A" w:rsidRDefault="00932ECB" w:rsidP="00932ECB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西安</w:t>
            </w:r>
          </w:p>
        </w:tc>
      </w:tr>
      <w:tr w:rsidR="00097A5A" w:rsidTr="00932ECB">
        <w:trPr>
          <w:jc w:val="center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5A" w:rsidRDefault="00060C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第3期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A5A" w:rsidRDefault="00060C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2025年7月1</w:t>
            </w:r>
            <w:r w:rsidR="00932ECB"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A5A" w:rsidRDefault="00932ECB" w:rsidP="00932E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14</w:t>
            </w:r>
            <w:r w:rsidR="00060C2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16</w:t>
            </w:r>
            <w:r w:rsidR="00060C2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5A" w:rsidRDefault="00060C25" w:rsidP="00932E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7月</w:t>
            </w:r>
            <w:r w:rsidR="00932EC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="00932ECB"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5A" w:rsidRDefault="00060C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重庆</w:t>
            </w:r>
          </w:p>
        </w:tc>
      </w:tr>
      <w:tr w:rsidR="00097A5A" w:rsidTr="00932ECB">
        <w:trPr>
          <w:jc w:val="center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5A" w:rsidRDefault="00060C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第4期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A5A" w:rsidRDefault="00060C25" w:rsidP="00932E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2025年8月</w:t>
            </w:r>
            <w:r w:rsidR="00932EC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="00932ECB"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A5A" w:rsidRDefault="00932ECB" w:rsidP="00932E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25</w:t>
            </w:r>
            <w:r w:rsidR="00060C2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  <w:r w:rsidR="00060C2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5A" w:rsidRDefault="00060C25" w:rsidP="00932E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8月</w:t>
            </w:r>
            <w:r w:rsidR="00932EC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="00932ECB"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5A" w:rsidRDefault="00060C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贵阳</w:t>
            </w:r>
          </w:p>
        </w:tc>
      </w:tr>
      <w:tr w:rsidR="00097A5A" w:rsidTr="00932ECB">
        <w:trPr>
          <w:jc w:val="center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5A" w:rsidRDefault="00060C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第5期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A5A" w:rsidRDefault="00060C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2025年10月25日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A5A" w:rsidRDefault="00060C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10月26-28日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5A" w:rsidRDefault="00060C2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10月29日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5A" w:rsidRDefault="00932EC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</w:t>
            </w:r>
          </w:p>
        </w:tc>
      </w:tr>
      <w:tr w:rsidR="00932ECB" w:rsidTr="00060C25">
        <w:trPr>
          <w:jc w:val="center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ECB" w:rsidRDefault="00932ECB" w:rsidP="00932E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期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ECB" w:rsidRDefault="00932ECB" w:rsidP="00932E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2025年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ECB" w:rsidRDefault="00932ECB" w:rsidP="00932E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-2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ECB" w:rsidRDefault="00932ECB" w:rsidP="00932E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ECB" w:rsidDel="00932ECB" w:rsidRDefault="00932ECB" w:rsidP="00932EC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成都</w:t>
            </w:r>
          </w:p>
        </w:tc>
      </w:tr>
    </w:tbl>
    <w:p w:rsidR="00097A5A" w:rsidRDefault="00060C25">
      <w:pPr>
        <w:pStyle w:val="ad"/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八</w:t>
      </w:r>
      <w:r>
        <w:rPr>
          <w:rFonts w:ascii="仿宋" w:eastAsia="仿宋" w:hAnsi="仿宋"/>
          <w:b/>
          <w:sz w:val="32"/>
          <w:szCs w:val="32"/>
        </w:rPr>
        <w:t>、结业</w:t>
      </w:r>
      <w:r>
        <w:rPr>
          <w:rFonts w:ascii="仿宋" w:eastAsia="仿宋" w:hAnsi="仿宋" w:hint="eastAsia"/>
          <w:b/>
          <w:sz w:val="32"/>
          <w:szCs w:val="32"/>
        </w:rPr>
        <w:t>证书</w:t>
      </w:r>
    </w:p>
    <w:p w:rsidR="00097A5A" w:rsidRDefault="00060C25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完成全部课程学习后，学员获得由北京国家会计学院颁发的《数智财务高端人才研修项目》结业证书。</w:t>
      </w:r>
    </w:p>
    <w:p w:rsidR="00097A5A" w:rsidRDefault="00060C25">
      <w:pPr>
        <w:adjustRightInd w:val="0"/>
        <w:snapToGrid w:val="0"/>
        <w:spacing w:beforeLines="50" w:before="156"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九</w:t>
      </w:r>
      <w:r>
        <w:rPr>
          <w:rFonts w:ascii="仿宋" w:eastAsia="仿宋" w:hAnsi="仿宋"/>
          <w:b/>
          <w:sz w:val="32"/>
          <w:szCs w:val="32"/>
        </w:rPr>
        <w:t>、收费标准</w:t>
      </w:r>
    </w:p>
    <w:p w:rsidR="00097A5A" w:rsidRDefault="00060C25">
      <w:pPr>
        <w:adjustRightInd w:val="0"/>
        <w:snapToGrid w:val="0"/>
        <w:spacing w:line="360" w:lineRule="auto"/>
        <w:ind w:firstLineChars="200" w:firstLine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华文仿宋" w:hint="eastAsia"/>
          <w:spacing w:val="5"/>
          <w:kern w:val="0"/>
          <w:sz w:val="32"/>
          <w:szCs w:val="32"/>
        </w:rPr>
        <w:t>（一）</w:t>
      </w:r>
      <w:r>
        <w:rPr>
          <w:rFonts w:ascii="仿宋" w:eastAsia="仿宋" w:hAnsi="仿宋" w:cs="仿宋" w:hint="eastAsia"/>
          <w:sz w:val="32"/>
          <w:szCs w:val="32"/>
        </w:rPr>
        <w:t>培训费:6800元/人</w:t>
      </w:r>
    </w:p>
    <w:p w:rsidR="00097A5A" w:rsidRDefault="00060C25">
      <w:pPr>
        <w:adjustRightInd w:val="0"/>
        <w:snapToGrid w:val="0"/>
        <w:spacing w:line="360" w:lineRule="auto"/>
        <w:ind w:firstLineChars="200" w:firstLine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华文仿宋" w:hint="eastAsia"/>
          <w:spacing w:val="5"/>
          <w:kern w:val="0"/>
          <w:sz w:val="32"/>
          <w:szCs w:val="32"/>
        </w:rPr>
        <w:t>（二）</w:t>
      </w:r>
      <w:r>
        <w:rPr>
          <w:rFonts w:ascii="仿宋" w:eastAsia="仿宋" w:hAnsi="仿宋" w:cs="仿宋" w:hint="eastAsia"/>
          <w:sz w:val="32"/>
          <w:szCs w:val="32"/>
        </w:rPr>
        <w:t>在北京国家会计学院举办的培训可提供食宿。就餐为自助餐，收费标准为120元/人天。住宿条件为单人标准间，收费标准为普通间340元/人天，商务间550元/人天，新商务间650元/人天（住宿费用含游泳、健身、宽带上网等费用），在京外举办的培训由当地酒店提供食宿，统一安排，费用自理。</w:t>
      </w:r>
    </w:p>
    <w:p w:rsidR="00097A5A" w:rsidRDefault="00060C25">
      <w:pPr>
        <w:adjustRightInd w:val="0"/>
        <w:snapToGrid w:val="0"/>
        <w:spacing w:line="360" w:lineRule="auto"/>
        <w:ind w:firstLineChars="200" w:firstLine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华文仿宋" w:hint="eastAsia"/>
          <w:spacing w:val="5"/>
          <w:kern w:val="0"/>
          <w:sz w:val="32"/>
          <w:szCs w:val="32"/>
        </w:rPr>
        <w:t>（三）</w:t>
      </w:r>
      <w:r>
        <w:rPr>
          <w:rFonts w:ascii="仿宋" w:eastAsia="仿宋" w:hAnsi="仿宋" w:cs="仿宋" w:hint="eastAsia"/>
          <w:sz w:val="32"/>
          <w:szCs w:val="32"/>
        </w:rPr>
        <w:t>缴费方式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1．报到时现场刷卡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或扫码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支付；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2．银行汇款（培训费可汇款，食宿费需当场缴纳）：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单位名称：北京国家会计学院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开户行：中国建设银行北京天竺支行（201）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号：1100 1020 1000 5603 0985</w:t>
      </w:r>
    </w:p>
    <w:p w:rsidR="00097A5A" w:rsidRDefault="00060C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注：汇款的学员请于报到当日持汇款复印件报到，否则视同未汇款，需重新交纳培训费用。</w:t>
      </w:r>
    </w:p>
    <w:p w:rsidR="00097A5A" w:rsidRDefault="00060C25">
      <w:pPr>
        <w:widowControl/>
        <w:shd w:val="clear" w:color="auto" w:fill="FFFFFF"/>
        <w:spacing w:line="360" w:lineRule="auto"/>
        <w:rPr>
          <w:rFonts w:ascii="仿宋" w:eastAsia="仿宋" w:hAnsi="仿宋" w:cs="华文仿宋"/>
          <w:b/>
          <w:bCs/>
          <w:kern w:val="0"/>
          <w:sz w:val="32"/>
          <w:szCs w:val="32"/>
        </w:rPr>
      </w:pPr>
      <w:r>
        <w:rPr>
          <w:rFonts w:ascii="仿宋" w:eastAsia="仿宋" w:hAnsi="仿宋" w:cs="华文仿宋" w:hint="eastAsia"/>
          <w:b/>
          <w:bCs/>
          <w:kern w:val="0"/>
          <w:sz w:val="32"/>
          <w:szCs w:val="32"/>
        </w:rPr>
        <w:t>十、联系我们</w:t>
      </w:r>
    </w:p>
    <w:p w:rsidR="00097A5A" w:rsidRDefault="00060C25">
      <w:pPr>
        <w:widowControl/>
        <w:shd w:val="clear" w:color="auto" w:fill="FFFFFF"/>
        <w:spacing w:line="360" w:lineRule="auto"/>
        <w:ind w:firstLineChars="300" w:firstLine="990"/>
        <w:rPr>
          <w:rFonts w:ascii="仿宋" w:eastAsia="仿宋" w:hAnsi="仿宋" w:cs="华文仿宋"/>
          <w:spacing w:val="5"/>
          <w:kern w:val="0"/>
          <w:sz w:val="32"/>
          <w:szCs w:val="32"/>
        </w:rPr>
      </w:pPr>
      <w:r>
        <w:rPr>
          <w:rFonts w:ascii="仿宋" w:eastAsia="仿宋" w:hAnsi="仿宋" w:cs="华文仿宋" w:hint="eastAsia"/>
          <w:spacing w:val="5"/>
          <w:kern w:val="0"/>
          <w:sz w:val="32"/>
          <w:szCs w:val="32"/>
        </w:rPr>
        <w:t>武老师</w:t>
      </w:r>
    </w:p>
    <w:p w:rsidR="00097A5A" w:rsidRDefault="00060C25">
      <w:pPr>
        <w:widowControl/>
        <w:shd w:val="clear" w:color="auto" w:fill="FFFFFF"/>
        <w:spacing w:line="360" w:lineRule="auto"/>
        <w:ind w:firstLineChars="300" w:firstLine="990"/>
        <w:rPr>
          <w:rFonts w:ascii="仿宋" w:eastAsia="仿宋" w:hAnsi="仿宋" w:cs="华文仿宋"/>
          <w:spacing w:val="5"/>
          <w:kern w:val="0"/>
          <w:sz w:val="32"/>
          <w:szCs w:val="32"/>
        </w:rPr>
      </w:pPr>
      <w:r>
        <w:rPr>
          <w:rFonts w:ascii="仿宋" w:eastAsia="仿宋" w:hAnsi="仿宋" w:cs="华文仿宋" w:hint="eastAsia"/>
          <w:spacing w:val="5"/>
          <w:kern w:val="0"/>
          <w:sz w:val="32"/>
          <w:szCs w:val="32"/>
        </w:rPr>
        <w:t>电话：010-6450</w:t>
      </w:r>
      <w:r>
        <w:rPr>
          <w:rFonts w:ascii="仿宋" w:eastAsia="仿宋" w:hAnsi="仿宋" w:cs="华文仿宋"/>
          <w:spacing w:val="5"/>
          <w:kern w:val="0"/>
          <w:sz w:val="32"/>
          <w:szCs w:val="32"/>
        </w:rPr>
        <w:t>5166</w:t>
      </w:r>
    </w:p>
    <w:p w:rsidR="00097A5A" w:rsidRDefault="00060C25">
      <w:pPr>
        <w:widowControl/>
        <w:shd w:val="clear" w:color="auto" w:fill="FFFFFF"/>
        <w:spacing w:line="360" w:lineRule="auto"/>
        <w:ind w:firstLineChars="300" w:firstLine="990"/>
        <w:rPr>
          <w:rFonts w:ascii="仿宋" w:eastAsia="仿宋" w:hAnsi="仿宋" w:cs="华文仿宋"/>
          <w:spacing w:val="5"/>
          <w:kern w:val="0"/>
          <w:sz w:val="32"/>
          <w:szCs w:val="32"/>
        </w:rPr>
      </w:pPr>
      <w:r>
        <w:rPr>
          <w:rFonts w:ascii="仿宋" w:eastAsia="仿宋" w:hAnsi="仿宋" w:cs="华文仿宋" w:hint="eastAsia"/>
          <w:spacing w:val="5"/>
          <w:kern w:val="0"/>
          <w:sz w:val="32"/>
          <w:szCs w:val="32"/>
        </w:rPr>
        <w:t>邮箱：</w:t>
      </w:r>
      <w:hyperlink r:id="rId5" w:history="1">
        <w:r>
          <w:rPr>
            <w:rStyle w:val="ab"/>
            <w:rFonts w:ascii="仿宋" w:eastAsia="仿宋" w:hAnsi="仿宋" w:cs="华文仿宋"/>
            <w:spacing w:val="5"/>
            <w:kern w:val="0"/>
            <w:sz w:val="32"/>
            <w:szCs w:val="32"/>
          </w:rPr>
          <w:t>wuty</w:t>
        </w:r>
        <w:r>
          <w:rPr>
            <w:rStyle w:val="ab"/>
            <w:rFonts w:ascii="仿宋" w:eastAsia="仿宋" w:hAnsi="仿宋" w:cs="华文仿宋" w:hint="eastAsia"/>
            <w:spacing w:val="5"/>
            <w:kern w:val="0"/>
            <w:sz w:val="32"/>
            <w:szCs w:val="32"/>
          </w:rPr>
          <w:t>@</w:t>
        </w:r>
        <w:r>
          <w:rPr>
            <w:rStyle w:val="ab"/>
            <w:rFonts w:ascii="仿宋" w:eastAsia="仿宋" w:hAnsi="仿宋" w:cs="华文仿宋"/>
            <w:spacing w:val="5"/>
            <w:kern w:val="0"/>
            <w:sz w:val="32"/>
            <w:szCs w:val="32"/>
          </w:rPr>
          <w:t>mail.</w:t>
        </w:r>
        <w:r>
          <w:rPr>
            <w:rStyle w:val="ab"/>
            <w:rFonts w:ascii="仿宋" w:eastAsia="仿宋" w:hAnsi="仿宋" w:cs="华文仿宋" w:hint="eastAsia"/>
            <w:spacing w:val="5"/>
            <w:kern w:val="0"/>
            <w:sz w:val="32"/>
            <w:szCs w:val="32"/>
          </w:rPr>
          <w:t>nai.</w:t>
        </w:r>
        <w:r>
          <w:rPr>
            <w:rStyle w:val="ab"/>
            <w:rFonts w:ascii="仿宋" w:eastAsia="仿宋" w:hAnsi="仿宋" w:cs="华文仿宋"/>
            <w:spacing w:val="5"/>
            <w:kern w:val="0"/>
            <w:sz w:val="32"/>
            <w:szCs w:val="32"/>
          </w:rPr>
          <w:t>edu.cn</w:t>
        </w:r>
      </w:hyperlink>
    </w:p>
    <w:p w:rsidR="00097A5A" w:rsidRDefault="00097A5A">
      <w:pPr>
        <w:rPr>
          <w:rFonts w:ascii="仿宋" w:eastAsia="仿宋" w:hAnsi="仿宋" w:cs="仿宋"/>
          <w:sz w:val="32"/>
          <w:szCs w:val="32"/>
        </w:rPr>
      </w:pPr>
    </w:p>
    <w:p w:rsidR="00097A5A" w:rsidRDefault="00097A5A">
      <w:pPr>
        <w:rPr>
          <w:rFonts w:ascii="仿宋" w:eastAsia="仿宋" w:hAnsi="仿宋" w:cs="仿宋"/>
          <w:sz w:val="32"/>
          <w:szCs w:val="32"/>
        </w:rPr>
      </w:pPr>
    </w:p>
    <w:p w:rsidR="00097A5A" w:rsidRDefault="00060C2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附件：1.主办方简介</w:t>
      </w:r>
    </w:p>
    <w:p w:rsidR="00097A5A" w:rsidRDefault="00060C25">
      <w:pPr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2.报名回执表</w:t>
      </w:r>
    </w:p>
    <w:p w:rsidR="00097A5A" w:rsidRDefault="00097A5A">
      <w:pPr>
        <w:rPr>
          <w:rFonts w:ascii="仿宋" w:eastAsia="仿宋" w:hAnsi="仿宋" w:cs="仿宋"/>
          <w:sz w:val="32"/>
          <w:szCs w:val="32"/>
        </w:rPr>
      </w:pPr>
    </w:p>
    <w:p w:rsidR="00097A5A" w:rsidRDefault="00097A5A">
      <w:pPr>
        <w:rPr>
          <w:rFonts w:ascii="仿宋" w:eastAsia="仿宋" w:hAnsi="仿宋" w:cs="仿宋"/>
          <w:sz w:val="32"/>
          <w:szCs w:val="32"/>
        </w:rPr>
      </w:pPr>
    </w:p>
    <w:p w:rsidR="00097A5A" w:rsidRDefault="00060C25">
      <w:pPr>
        <w:jc w:val="righ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北京国家会计学院教务部</w:t>
      </w:r>
    </w:p>
    <w:p w:rsidR="00097A5A" w:rsidRDefault="00060C25">
      <w:pPr>
        <w:wordWrap w:val="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2024年12月</w:t>
      </w:r>
      <w:r>
        <w:rPr>
          <w:rFonts w:ascii="仿宋" w:eastAsia="仿宋" w:hAnsi="仿宋" w:cs="仿宋" w:hint="eastAsia"/>
          <w:b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</w:p>
    <w:p w:rsidR="00097A5A" w:rsidRDefault="00097A5A">
      <w:pPr>
        <w:spacing w:line="440" w:lineRule="exact"/>
        <w:jc w:val="center"/>
        <w:rPr>
          <w:rFonts w:ascii="仿宋" w:eastAsia="仿宋" w:hAnsi="仿宋" w:cs="宋体"/>
          <w:b/>
          <w:bCs/>
          <w:kern w:val="0"/>
          <w:sz w:val="30"/>
          <w:szCs w:val="30"/>
        </w:rPr>
      </w:pPr>
    </w:p>
    <w:p w:rsidR="00097A5A" w:rsidRDefault="00097A5A">
      <w:pPr>
        <w:spacing w:line="440" w:lineRule="exact"/>
        <w:rPr>
          <w:rFonts w:ascii="仿宋" w:eastAsia="仿宋" w:hAnsi="仿宋" w:cs="宋体"/>
          <w:b/>
          <w:bCs/>
          <w:kern w:val="0"/>
          <w:sz w:val="30"/>
          <w:szCs w:val="30"/>
        </w:rPr>
      </w:pPr>
    </w:p>
    <w:p w:rsidR="00097A5A" w:rsidRDefault="00060C25">
      <w:pPr>
        <w:rPr>
          <w:rFonts w:ascii="仿宋" w:eastAsia="仿宋" w:hAnsi="仿宋" w:cs="宋体"/>
          <w:b/>
          <w:bCs/>
          <w:kern w:val="0"/>
          <w:sz w:val="30"/>
          <w:szCs w:val="30"/>
        </w:rPr>
      </w:pPr>
      <w:r>
        <w:rPr>
          <w:rFonts w:ascii="仿宋" w:eastAsia="仿宋" w:hAnsi="仿宋" w:cs="宋体"/>
          <w:b/>
          <w:bCs/>
          <w:kern w:val="0"/>
          <w:sz w:val="30"/>
          <w:szCs w:val="30"/>
        </w:rPr>
        <w:br w:type="page"/>
      </w:r>
    </w:p>
    <w:p w:rsidR="00097A5A" w:rsidRDefault="00060C25">
      <w:pPr>
        <w:spacing w:line="440" w:lineRule="exact"/>
        <w:jc w:val="left"/>
        <w:rPr>
          <w:rFonts w:ascii="仿宋" w:eastAsia="仿宋" w:hAnsi="仿宋" w:cs="宋体"/>
          <w:b/>
          <w:bCs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附件1：</w:t>
      </w:r>
    </w:p>
    <w:p w:rsidR="00097A5A" w:rsidRDefault="00060C25">
      <w:pPr>
        <w:spacing w:line="440" w:lineRule="exact"/>
        <w:jc w:val="center"/>
        <w:rPr>
          <w:rFonts w:ascii="仿宋" w:eastAsia="仿宋" w:hAnsi="仿宋" w:cs="宋体"/>
          <w:b/>
          <w:bCs/>
          <w:kern w:val="0"/>
          <w:sz w:val="36"/>
          <w:szCs w:val="36"/>
        </w:rPr>
      </w:pPr>
      <w:proofErr w:type="gramStart"/>
      <w:r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培训主办</w:t>
      </w:r>
      <w:proofErr w:type="gramEnd"/>
      <w:r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方简介</w:t>
      </w:r>
    </w:p>
    <w:p w:rsidR="00097A5A" w:rsidRDefault="00097A5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97A5A" w:rsidRDefault="00060C25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北京国家会计学院</w:t>
      </w:r>
      <w:r>
        <w:rPr>
          <w:rFonts w:ascii="仿宋" w:eastAsia="仿宋" w:hAnsi="仿宋" w:cs="仿宋" w:hint="eastAsia"/>
          <w:sz w:val="32"/>
          <w:szCs w:val="32"/>
        </w:rPr>
        <w:t>是财政部所属事业单位。建院以来，学院秉承时任国务院总理朱镕基同志题写的“诚信为本，操守为重，坚持准则，不做假账”校训，服务国家人才强国战略和财政经济中心工作，深入构建中国自主高端财经人才培养体系，致力于打造国家级高端财经人才学府，为我国宏观经济管理部门、大中型企事业单位和社会中介机构培养了大批高级财经管理人才。经过二十多年的发展，学院形成了新型财经智库、高端财经培训、精品研究生教育并驾齐驱的发展格局，并拥有一支精通理论前沿及丰富实务经验的优秀师资队伍。</w:t>
      </w:r>
    </w:p>
    <w:p w:rsidR="00097A5A" w:rsidRDefault="00060C25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宋体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深圳市中兴新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云服务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有限公司</w:t>
      </w:r>
      <w:r>
        <w:rPr>
          <w:rFonts w:ascii="仿宋" w:eastAsia="仿宋" w:hAnsi="仿宋" w:cs="仿宋" w:hint="eastAsia"/>
          <w:sz w:val="32"/>
          <w:szCs w:val="32"/>
        </w:rPr>
        <w:t>（简称中兴新云）是中国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财务数智化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领域领先的管理咨询、信息技术及知识服务机构。作为中国财务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数智化创新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先锋，中兴新云凭借在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财务数智化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财务信息化和财务共享服务等领域的领先实力，以及对中国企业跨国发展的深入研究，基于多年实践经验与创新理念，向企业提供管理咨询及信息技术解决方案。至今，已为三百多家大型集团企业及政府相关机构提供从管理咨询、方案设计到信息系统的全方位解决方案，以财务+IT+DT的创新研究和实践，引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财务数智化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在中国的发展。</w:t>
      </w:r>
    </w:p>
    <w:p w:rsidR="00097A5A" w:rsidRDefault="00060C25">
      <w:pPr>
        <w:rPr>
          <w:rFonts w:ascii="仿宋" w:eastAsia="仿宋" w:hAnsi="仿宋" w:cs="宋体"/>
          <w:b/>
          <w:bCs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br w:type="page"/>
      </w:r>
    </w:p>
    <w:p w:rsidR="00097A5A" w:rsidRDefault="00060C25" w:rsidP="00932ECB">
      <w:pPr>
        <w:rPr>
          <w:rFonts w:ascii="仿宋" w:eastAsia="仿宋" w:hAnsi="仿宋" w:cs="宋体"/>
          <w:b/>
          <w:bCs/>
          <w:kern w:val="0"/>
          <w:sz w:val="36"/>
          <w:szCs w:val="36"/>
        </w:rPr>
      </w:pPr>
      <w:bookmarkStart w:id="2" w:name="_GoBack"/>
      <w:bookmarkEnd w:id="2"/>
      <w:r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附件2：</w:t>
      </w:r>
    </w:p>
    <w:p w:rsidR="00097A5A" w:rsidRDefault="00060C25">
      <w:pPr>
        <w:spacing w:line="440" w:lineRule="exact"/>
        <w:jc w:val="center"/>
        <w:rPr>
          <w:rFonts w:ascii="仿宋" w:eastAsia="仿宋" w:hAnsi="仿宋" w:cs="宋体"/>
          <w:b/>
          <w:bCs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《数智财务高端人才研修项目》 报名回执表</w:t>
      </w:r>
    </w:p>
    <w:tbl>
      <w:tblPr>
        <w:tblpPr w:leftFromText="180" w:rightFromText="180" w:vertAnchor="text" w:horzAnchor="page" w:tblpX="1455" w:tblpY="156"/>
        <w:tblOverlap w:val="never"/>
        <w:tblW w:w="9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709"/>
        <w:gridCol w:w="1701"/>
        <w:gridCol w:w="1860"/>
        <w:gridCol w:w="2372"/>
      </w:tblGrid>
      <w:tr w:rsidR="00097A5A">
        <w:trPr>
          <w:trHeight w:val="5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60C25">
            <w:pPr>
              <w:autoSpaceDN w:val="0"/>
              <w:spacing w:before="156" w:after="156"/>
              <w:rPr>
                <w:rFonts w:ascii="仿宋" w:eastAsia="仿宋" w:hAnsi="仿宋"/>
                <w:color w:val="58595B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60C25">
            <w:pPr>
              <w:autoSpaceDN w:val="0"/>
              <w:jc w:val="center"/>
              <w:rPr>
                <w:rFonts w:ascii="仿宋" w:eastAsia="仿宋" w:hAnsi="仿宋"/>
                <w:color w:val="58595B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</w:p>
        </w:tc>
      </w:tr>
      <w:tr w:rsidR="00097A5A">
        <w:trPr>
          <w:trHeight w:val="5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60C25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60C25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eastAsia="仿宋" w:hAnsi="仿宋"/>
                <w:color w:val="58595B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pacing w:val="-26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60C25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eastAsia="仿宋" w:hAnsi="仿宋"/>
                <w:color w:val="58595B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60C25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仿宋" w:eastAsia="仿宋" w:hAnsi="仿宋"/>
                <w:color w:val="58595B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</w:p>
        </w:tc>
      </w:tr>
      <w:tr w:rsidR="00097A5A">
        <w:trPr>
          <w:trHeight w:val="61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60C25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学员姓名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60C25">
            <w:pPr>
              <w:tabs>
                <w:tab w:val="left" w:pos="360"/>
                <w:tab w:val="left" w:pos="540"/>
              </w:tabs>
              <w:autoSpaceDN w:val="0"/>
              <w:rPr>
                <w:rFonts w:ascii="仿宋" w:eastAsia="仿宋" w:hAnsi="仿宋"/>
                <w:color w:val="000000"/>
                <w:spacing w:val="-26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pacing w:val="-26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60C25">
            <w:pPr>
              <w:tabs>
                <w:tab w:val="left" w:pos="360"/>
                <w:tab w:val="left" w:pos="540"/>
              </w:tabs>
              <w:autoSpaceDN w:val="0"/>
              <w:rPr>
                <w:rFonts w:ascii="仿宋" w:eastAsia="仿宋" w:hAnsi="仿宋"/>
                <w:color w:val="000000"/>
                <w:spacing w:val="-26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pacing w:val="-26"/>
                <w:sz w:val="24"/>
                <w:szCs w:val="24"/>
              </w:rPr>
              <w:t>部门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60C25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职务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60C25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联系电话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60C25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60C25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电子邮箱</w:t>
            </w:r>
          </w:p>
        </w:tc>
      </w:tr>
      <w:tr w:rsidR="00097A5A">
        <w:trPr>
          <w:trHeight w:val="5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60C25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60C25">
            <w:pPr>
              <w:tabs>
                <w:tab w:val="left" w:pos="360"/>
                <w:tab w:val="left" w:pos="540"/>
              </w:tabs>
              <w:autoSpaceDN w:val="0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pacing w:val="-26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60C25">
            <w:pPr>
              <w:tabs>
                <w:tab w:val="left" w:pos="360"/>
                <w:tab w:val="left" w:pos="540"/>
              </w:tabs>
              <w:autoSpaceDN w:val="0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pacing w:val="-26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60C25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60C25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60C25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60C25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 </w:t>
            </w:r>
          </w:p>
        </w:tc>
      </w:tr>
      <w:tr w:rsidR="00097A5A">
        <w:trPr>
          <w:trHeight w:val="5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97A5A">
        <w:trPr>
          <w:trHeight w:val="5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97A5A">
        <w:trPr>
          <w:trHeight w:val="5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97A5A">
        <w:trPr>
          <w:trHeight w:val="5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97A5A">
        <w:trPr>
          <w:trHeight w:val="5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97A5A">
        <w:trPr>
          <w:trHeight w:val="5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97A5A">
        <w:trPr>
          <w:trHeight w:val="5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97A5A">
        <w:trPr>
          <w:trHeight w:val="5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97A5A">
        <w:trPr>
          <w:trHeight w:val="5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97A5A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97A5A">
        <w:trPr>
          <w:trHeight w:val="5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60C25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课程选择</w:t>
            </w:r>
          </w:p>
        </w:tc>
        <w:tc>
          <w:tcPr>
            <w:tcW w:w="8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60C25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</w:rPr>
              <w:t>开班时间：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>月；期数：第</w:t>
            </w:r>
            <w:r>
              <w:rPr>
                <w:rFonts w:ascii="仿宋" w:eastAsia="仿宋" w:hAnsi="仿宋" w:hint="eastAsia"/>
                <w:u w:val="single"/>
              </w:rPr>
              <w:t xml:space="preserve"> </w:t>
            </w:r>
            <w:r>
              <w:rPr>
                <w:rFonts w:ascii="仿宋" w:eastAsia="仿宋" w:hAnsi="仿宋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</w:rPr>
              <w:t>期（请在横线中填写）</w:t>
            </w:r>
          </w:p>
        </w:tc>
      </w:tr>
      <w:tr w:rsidR="00097A5A">
        <w:trPr>
          <w:trHeight w:val="1357"/>
        </w:trPr>
        <w:tc>
          <w:tcPr>
            <w:tcW w:w="93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A5A" w:rsidRDefault="00060C25">
            <w:pPr>
              <w:spacing w:line="360" w:lineRule="auto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报名咨询：</w:t>
            </w:r>
          </w:p>
          <w:p w:rsidR="00097A5A" w:rsidRDefault="00060C25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联系人：武老师     电话：010-64505166  邮箱：wuty@nai.edu.cn</w:t>
            </w:r>
          </w:p>
          <w:p w:rsidR="00097A5A" w:rsidRDefault="00060C25">
            <w:pPr>
              <w:spacing w:line="360" w:lineRule="auto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注：请将报名回执表填写完整回复到报名邮箱 </w:t>
            </w:r>
          </w:p>
        </w:tc>
      </w:tr>
    </w:tbl>
    <w:p w:rsidR="00097A5A" w:rsidRDefault="00097A5A">
      <w:pPr>
        <w:spacing w:line="120" w:lineRule="exact"/>
        <w:rPr>
          <w:rFonts w:ascii="仿宋" w:eastAsia="仿宋" w:hAnsi="仿宋" w:cs="仿宋"/>
          <w:sz w:val="30"/>
          <w:szCs w:val="30"/>
        </w:rPr>
      </w:pPr>
    </w:p>
    <w:sectPr w:rsidR="00097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BE95CB"/>
    <w:multiLevelType w:val="singleLevel"/>
    <w:tmpl w:val="F3BE95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9BEECCB"/>
    <w:multiLevelType w:val="singleLevel"/>
    <w:tmpl w:val="09BEEC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E44874D"/>
    <w:multiLevelType w:val="singleLevel"/>
    <w:tmpl w:val="4E4487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280223"/>
    <w:rsid w:val="00013B1B"/>
    <w:rsid w:val="0004332F"/>
    <w:rsid w:val="00060C25"/>
    <w:rsid w:val="00097A5A"/>
    <w:rsid w:val="000B2E19"/>
    <w:rsid w:val="000D6DC8"/>
    <w:rsid w:val="00110736"/>
    <w:rsid w:val="0012066A"/>
    <w:rsid w:val="001A3252"/>
    <w:rsid w:val="001B600F"/>
    <w:rsid w:val="001E7AA6"/>
    <w:rsid w:val="001F08D5"/>
    <w:rsid w:val="00200C96"/>
    <w:rsid w:val="002110A5"/>
    <w:rsid w:val="00232B5F"/>
    <w:rsid w:val="00280223"/>
    <w:rsid w:val="003135C3"/>
    <w:rsid w:val="0033424D"/>
    <w:rsid w:val="00367384"/>
    <w:rsid w:val="003A2817"/>
    <w:rsid w:val="003C2420"/>
    <w:rsid w:val="004034B1"/>
    <w:rsid w:val="00441B10"/>
    <w:rsid w:val="00445EE2"/>
    <w:rsid w:val="0053130D"/>
    <w:rsid w:val="005C352B"/>
    <w:rsid w:val="005D46AF"/>
    <w:rsid w:val="005E5A7A"/>
    <w:rsid w:val="00607965"/>
    <w:rsid w:val="0062468C"/>
    <w:rsid w:val="00660DD4"/>
    <w:rsid w:val="006B2987"/>
    <w:rsid w:val="006C0D9B"/>
    <w:rsid w:val="00746DEE"/>
    <w:rsid w:val="00762D0C"/>
    <w:rsid w:val="00776176"/>
    <w:rsid w:val="007866A9"/>
    <w:rsid w:val="007B1431"/>
    <w:rsid w:val="00804384"/>
    <w:rsid w:val="008811AD"/>
    <w:rsid w:val="0089730D"/>
    <w:rsid w:val="0092355A"/>
    <w:rsid w:val="00932ECB"/>
    <w:rsid w:val="00940647"/>
    <w:rsid w:val="009758C7"/>
    <w:rsid w:val="00AD675D"/>
    <w:rsid w:val="00AE1979"/>
    <w:rsid w:val="00B336C9"/>
    <w:rsid w:val="00BC5764"/>
    <w:rsid w:val="00BE3834"/>
    <w:rsid w:val="00C56A8F"/>
    <w:rsid w:val="00C9606C"/>
    <w:rsid w:val="00CB0A12"/>
    <w:rsid w:val="00CC5E87"/>
    <w:rsid w:val="00CD2B35"/>
    <w:rsid w:val="00CF6D04"/>
    <w:rsid w:val="00D21D50"/>
    <w:rsid w:val="00D26243"/>
    <w:rsid w:val="00D26CE0"/>
    <w:rsid w:val="00D64BBE"/>
    <w:rsid w:val="00D74836"/>
    <w:rsid w:val="00D86487"/>
    <w:rsid w:val="00D90B6D"/>
    <w:rsid w:val="00D971CD"/>
    <w:rsid w:val="00DC6764"/>
    <w:rsid w:val="00EE01B7"/>
    <w:rsid w:val="00F0119E"/>
    <w:rsid w:val="00F22333"/>
    <w:rsid w:val="00F2689D"/>
    <w:rsid w:val="00FB3BE9"/>
    <w:rsid w:val="00FC0168"/>
    <w:rsid w:val="05E10DAF"/>
    <w:rsid w:val="091C0C95"/>
    <w:rsid w:val="09F842D7"/>
    <w:rsid w:val="1327572B"/>
    <w:rsid w:val="161A0F8E"/>
    <w:rsid w:val="17885A11"/>
    <w:rsid w:val="1AC87DED"/>
    <w:rsid w:val="1ADD338C"/>
    <w:rsid w:val="1B9852AF"/>
    <w:rsid w:val="1D5539EC"/>
    <w:rsid w:val="1E2347C7"/>
    <w:rsid w:val="1FC24DA5"/>
    <w:rsid w:val="236D3541"/>
    <w:rsid w:val="244C1795"/>
    <w:rsid w:val="24823902"/>
    <w:rsid w:val="25CD65B8"/>
    <w:rsid w:val="2BD30AF4"/>
    <w:rsid w:val="2C46695E"/>
    <w:rsid w:val="2F837F80"/>
    <w:rsid w:val="2F8F470C"/>
    <w:rsid w:val="33666962"/>
    <w:rsid w:val="36707E19"/>
    <w:rsid w:val="397A0678"/>
    <w:rsid w:val="3A7E395E"/>
    <w:rsid w:val="3C892A68"/>
    <w:rsid w:val="3D521C65"/>
    <w:rsid w:val="45A17AF4"/>
    <w:rsid w:val="45FF7A66"/>
    <w:rsid w:val="49310712"/>
    <w:rsid w:val="4F2726C2"/>
    <w:rsid w:val="50A306D9"/>
    <w:rsid w:val="54225EA3"/>
    <w:rsid w:val="587F712C"/>
    <w:rsid w:val="5C494805"/>
    <w:rsid w:val="63F55D49"/>
    <w:rsid w:val="66F25116"/>
    <w:rsid w:val="68794857"/>
    <w:rsid w:val="68913CA0"/>
    <w:rsid w:val="6F4323EA"/>
    <w:rsid w:val="6F815100"/>
    <w:rsid w:val="6FB76C1E"/>
    <w:rsid w:val="70E262C1"/>
    <w:rsid w:val="73B2330F"/>
    <w:rsid w:val="7A6B398A"/>
    <w:rsid w:val="7FF2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9EDA2"/>
  <w15:docId w15:val="{CF8F6190-042D-4F47-A2EF-022EF8C7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b">
    <w:name w:val="Hyperlink"/>
    <w:basedOn w:val="a0"/>
    <w:qFormat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d">
    <w:name w:val="No Spacing"/>
    <w:uiPriority w:val="1"/>
    <w:qFormat/>
    <w:pPr>
      <w:widowControl w:val="0"/>
      <w:jc w:val="both"/>
    </w:pPr>
    <w:rPr>
      <w:kern w:val="2"/>
      <w:sz w:val="21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uty@mail.nai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David-Ding</dc:creator>
  <cp:lastModifiedBy>wuty</cp:lastModifiedBy>
  <cp:revision>5</cp:revision>
  <cp:lastPrinted>2024-05-30T02:50:00Z</cp:lastPrinted>
  <dcterms:created xsi:type="dcterms:W3CDTF">2024-11-25T06:11:00Z</dcterms:created>
  <dcterms:modified xsi:type="dcterms:W3CDTF">2024-12-12T05:44:00Z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23D2F8FD1DEB416AB45CB6913C12E7EE</vt:lpwstr>
  </property>
</Properties>
</file>