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98299">
      <w:pPr>
        <w:spacing w:line="520" w:lineRule="exact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“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基于战略与业财融合的全面预算管理与成本管控实践”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高级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研修班</w:t>
      </w:r>
    </w:p>
    <w:p w14:paraId="7AB0C989">
      <w:pPr>
        <w:spacing w:line="520" w:lineRule="exact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招生简章</w:t>
      </w:r>
    </w:p>
    <w:p w14:paraId="4985034E">
      <w:pPr>
        <w:spacing w:line="440" w:lineRule="exact"/>
        <w:rPr>
          <w:rFonts w:hint="eastAsia" w:ascii="仿宋" w:hAnsi="仿宋" w:eastAsia="仿宋"/>
          <w:sz w:val="30"/>
          <w:szCs w:val="30"/>
        </w:rPr>
      </w:pPr>
    </w:p>
    <w:p w14:paraId="6E7F1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一、培训背景</w:t>
      </w:r>
    </w:p>
    <w:p w14:paraId="11C23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在当前全球经济增长放缓，外部环境日益复杂,商业模式不断创新的今天，企业财务管理工作需要从战略源头参与规划，通过全面预算与领先的成本管控的实施，在落实企业战略的同时，成为业务最贴心的合作伙伴，敏捷应对内外部机遇调整和市场变化,牵引业务持续有效增长并实现高效的组织资源配置，打造企业核心竞争力。</w:t>
      </w:r>
    </w:p>
    <w:p w14:paraId="00A47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基于此，北京国家会计学院将举办“基于战略与业财融合的全面预算管理与成本管控实践”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高级</w:t>
      </w:r>
      <w:r>
        <w:rPr>
          <w:rFonts w:hint="eastAsia" w:ascii="华文仿宋" w:hAnsi="华文仿宋" w:eastAsia="华文仿宋" w:cs="华文仿宋"/>
          <w:sz w:val="32"/>
          <w:szCs w:val="32"/>
        </w:rPr>
        <w:t>研修班，课程设计结合华为等优秀企业管理实践，深入挖掘，精心提炼，旨在帮助企业对标一流，理解全面预算的实现路径，全面提高管理成本的效率，重新定位财务管理职能，助力企业在复杂环境中升级管理、创造更多的社会价值。</w:t>
      </w:r>
    </w:p>
    <w:p w14:paraId="3830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二、培训对象</w:t>
      </w:r>
    </w:p>
    <w:p w14:paraId="7500C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企业总会计师、财务总监、财务经理、会计主管、预算专员、成本会计及相关财务人员；会计师事务所等中介机构专业人员；高校从事财务理论研究与实务教学的教师等。</w:t>
      </w:r>
    </w:p>
    <w:p w14:paraId="722CF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三、课程内容</w:t>
      </w:r>
    </w:p>
    <w:p w14:paraId="6A325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模块一、基于战略与业财融合的全面预算管理实践</w:t>
      </w:r>
    </w:p>
    <w:p w14:paraId="3E22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（一）业界预算管理现状/问题及相关启示</w:t>
      </w:r>
    </w:p>
    <w:p w14:paraId="41163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1.全面预算管理体系概述</w:t>
      </w:r>
    </w:p>
    <w:p w14:paraId="7AF7A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2.对标世界一流全面预算体系</w:t>
      </w:r>
    </w:p>
    <w:p w14:paraId="6823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3.技术进步助力企业管理升级</w:t>
      </w:r>
    </w:p>
    <w:p w14:paraId="4881F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（二）以全面预算为统领，落实高质量发展的目标责任</w:t>
      </w:r>
    </w:p>
    <w:p w14:paraId="0C059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1.数字化时代的预算管理必须与绩效相结合</w:t>
      </w:r>
    </w:p>
    <w:p w14:paraId="7C373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2.全面预算面临的挑战</w:t>
      </w:r>
    </w:p>
    <w:p w14:paraId="2ED3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3.国资委绩效指标在预算中的体现与分解</w:t>
      </w:r>
    </w:p>
    <w:p w14:paraId="0FAF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4.财务在预算管理中的价值定位 </w:t>
      </w:r>
    </w:p>
    <w:p w14:paraId="694B0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（三）企业战略落地——全面预算管理</w:t>
      </w:r>
    </w:p>
    <w:p w14:paraId="5B707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1.成功预算的标志——管理者需要具备全面预算思维</w:t>
      </w:r>
    </w:p>
    <w:p w14:paraId="7F322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2.预算管理全流程介绍</w:t>
      </w:r>
    </w:p>
    <w:p w14:paraId="2B1D3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3.跨部门协作的预算编制流程</w:t>
      </w:r>
    </w:p>
    <w:p w14:paraId="2140A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4.预算编制的侧重点和技术手段</w:t>
      </w:r>
    </w:p>
    <w:p w14:paraId="5B2F4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案例：中石油的集团财务预算</w:t>
      </w:r>
    </w:p>
    <w:p w14:paraId="52AC1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（四）全面预算的应用程序</w:t>
      </w:r>
    </w:p>
    <w:p w14:paraId="15013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1.信息搜集与对标</w:t>
      </w:r>
    </w:p>
    <w:p w14:paraId="40041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2.分析与评价相关业务</w:t>
      </w:r>
    </w:p>
    <w:p w14:paraId="3A129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3.资源限额和效益的综合平衡</w:t>
      </w:r>
    </w:p>
    <w:p w14:paraId="4E519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4.避免不合理因素影响</w:t>
      </w:r>
    </w:p>
    <w:p w14:paraId="5F7CE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5.增加预算编制透明度和合理性</w:t>
      </w:r>
    </w:p>
    <w:p w14:paraId="0A753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（五）华为成长及全面预算管理实践</w:t>
      </w:r>
    </w:p>
    <w:p w14:paraId="4FEDC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1.华为成长历程及经营定位</w:t>
      </w:r>
    </w:p>
    <w:p w14:paraId="5A939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2.华为预算管理发展阶段特点，从预算“摆设”到预算“牵引”</w:t>
      </w:r>
    </w:p>
    <w:p w14:paraId="1B5C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3.目标成本法与零基预算管理</w:t>
      </w:r>
    </w:p>
    <w:p w14:paraId="19AC7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（1）目标成本法介绍</w:t>
      </w:r>
    </w:p>
    <w:p w14:paraId="4E30B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（2）目标成本管理流程</w:t>
      </w:r>
    </w:p>
    <w:p w14:paraId="1406F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（3）保证利润是前提，制定成本高限</w:t>
      </w:r>
    </w:p>
    <w:p w14:paraId="64506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案例：华为的项目四算与成本否决</w:t>
      </w:r>
    </w:p>
    <w:p w14:paraId="1A337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4.承接战略的KPI规划与设计</w:t>
      </w:r>
    </w:p>
    <w:p w14:paraId="2B2D9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（六）以财务决算为重点，夯实高质量发展的管理根基</w:t>
      </w:r>
    </w:p>
    <w:p w14:paraId="6A8F7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1.项目决算分析</w:t>
      </w:r>
    </w:p>
    <w:p w14:paraId="71259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2.弹性预算分析</w:t>
      </w:r>
    </w:p>
    <w:p w14:paraId="38C70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3.管理差距与管理清单</w:t>
      </w:r>
    </w:p>
    <w:p w14:paraId="17D6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4.全面预算的循环和升级</w:t>
      </w:r>
    </w:p>
    <w:p w14:paraId="58D90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模块二、基于战略与业财融合的成本管控实践</w:t>
      </w:r>
    </w:p>
    <w:p w14:paraId="1293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（一）基于战略与业财融合的成本管理新思维</w:t>
      </w:r>
    </w:p>
    <w:p w14:paraId="42C48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1.战略的作用</w:t>
      </w:r>
    </w:p>
    <w:p w14:paraId="756F9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2.成本管理在战略规划中的具体应用</w:t>
      </w:r>
    </w:p>
    <w:p w14:paraId="19DC8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3.业财融合的意义</w:t>
      </w:r>
    </w:p>
    <w:p w14:paraId="1EA21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4.业财融合的成功管理实践</w:t>
      </w:r>
    </w:p>
    <w:p w14:paraId="5822E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5.成本管理新思维在企业的应用</w:t>
      </w:r>
    </w:p>
    <w:p w14:paraId="3DE70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（二）全样本下的成本管理与控制实践</w:t>
      </w:r>
    </w:p>
    <w:p w14:paraId="7C64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1.成本管控模型</w:t>
      </w:r>
    </w:p>
    <w:p w14:paraId="5AE5B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（1）成本管理体系建立分类</w:t>
      </w:r>
    </w:p>
    <w:p w14:paraId="1154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（2）案例解析成本分类的应用</w:t>
      </w:r>
    </w:p>
    <w:p w14:paraId="40E58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2.案例：产品性能分析法，找出企业错位成本</w:t>
      </w:r>
    </w:p>
    <w:p w14:paraId="1734B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3.案例：目标利润控制法，业财一体化</w:t>
      </w:r>
    </w:p>
    <w:p w14:paraId="3E41D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4.案例：变动成本管控是企业的杀手锏</w:t>
      </w:r>
    </w:p>
    <w:p w14:paraId="5AFF3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5.案例：增量保本点分析，营销费用的管控</w:t>
      </w:r>
    </w:p>
    <w:p w14:paraId="336C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6.案例：价值聚焦法，研发费的管控</w:t>
      </w:r>
    </w:p>
    <w:p w14:paraId="5D5B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7.作业成本法与标准成本法</w:t>
      </w:r>
    </w:p>
    <w:p w14:paraId="56943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（1）基于价值链分析的成本管理模型</w:t>
      </w:r>
    </w:p>
    <w:p w14:paraId="74B48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（2）案例解析：作业成本法的决策作用</w:t>
      </w:r>
    </w:p>
    <w:p w14:paraId="4A4E1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（3）标准成本法的实际应用</w:t>
      </w:r>
    </w:p>
    <w:p w14:paraId="1216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8.资金成本控制</w:t>
      </w:r>
    </w:p>
    <w:p w14:paraId="4E5E5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（1）销售内部控制</w:t>
      </w:r>
    </w:p>
    <w:p w14:paraId="1D73D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（2）应收账款管理是营运资金管理的首要任务</w:t>
      </w:r>
    </w:p>
    <w:p w14:paraId="2AFB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（3）应收账款的内部控制</w:t>
      </w:r>
    </w:p>
    <w:p w14:paraId="73FE5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9.采购成本的控制方法</w:t>
      </w:r>
    </w:p>
    <w:p w14:paraId="551D0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（1）案例分析采购中存在的问题</w:t>
      </w:r>
    </w:p>
    <w:p w14:paraId="62907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（2）采购管理的业务环节</w:t>
      </w:r>
    </w:p>
    <w:p w14:paraId="6DA5D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（3）采购管理的内控环节分析</w:t>
      </w:r>
    </w:p>
    <w:p w14:paraId="69A3F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（4）国企采购的合规管理介绍及控制表单</w:t>
      </w:r>
    </w:p>
    <w:p w14:paraId="49D49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（三）成本决策工具的应用</w:t>
      </w:r>
    </w:p>
    <w:p w14:paraId="25735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1.CVP（本量利模型）分析的应用</w:t>
      </w:r>
    </w:p>
    <w:p w14:paraId="3B3CB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（1）CVP的模型</w:t>
      </w:r>
    </w:p>
    <w:p w14:paraId="598A1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（2）CVP的决策应用案例</w:t>
      </w:r>
    </w:p>
    <w:p w14:paraId="418AA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（3）ExceL的敏感性分析应用</w:t>
      </w:r>
    </w:p>
    <w:p w14:paraId="0CF35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2.战略成本管理的关键工具——预算</w:t>
      </w:r>
    </w:p>
    <w:p w14:paraId="78784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（1）案例：收入、成本、费用预算的制定，既要节流更要开源</w:t>
      </w:r>
    </w:p>
    <w:p w14:paraId="33B1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（2）案例：资产负债表预算如何通过模型编制及对资金成本的控制</w:t>
      </w:r>
    </w:p>
    <w:p w14:paraId="1A57D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模块三、对标一流，领先的全面预算管理暨成本管控企业实践</w:t>
      </w:r>
    </w:p>
    <w:p w14:paraId="4D124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1.标杆企业全面预算管理的领先实践</w:t>
      </w:r>
    </w:p>
    <w:p w14:paraId="69EF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2.标杆企业成本管控的领先实践</w:t>
      </w:r>
    </w:p>
    <w:p w14:paraId="349B5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四、培训师资</w:t>
      </w:r>
    </w:p>
    <w:p w14:paraId="14D0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本课程由北京国家会计学院精心组织的专门师资团队授课。授课老师均具有深厚的理论功底及丰富的实践经验，包括北京国家会计学院教授、实务界资深专家、政策制定者等。具体师资以实际课表为准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3C7D5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、培训安排</w:t>
      </w:r>
    </w:p>
    <w:p w14:paraId="7BF9C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1.培训时间：2024年8月29日-31日（28日报到）</w:t>
      </w:r>
    </w:p>
    <w:p w14:paraId="2564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2.培训地点：北京国家会计学院</w:t>
      </w:r>
    </w:p>
    <w:p w14:paraId="3A47C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69094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六、收费标准及缴费方式</w:t>
      </w:r>
    </w:p>
    <w:p w14:paraId="1FAD7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1.收费标准</w:t>
      </w:r>
    </w:p>
    <w:p w14:paraId="01326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（1）培训费：6800元/人（不含食宿）。</w:t>
      </w:r>
    </w:p>
    <w:p w14:paraId="60BE3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食宿费：在北京国家会计学院举办的培训可提供食宿。就餐为自助餐，收费标准为120元/人天。住宿条件为单人标准间，收费标准普通间340元/人天，商务间550元/人天，新商务间650元/人天（住宿费用含游泳、健身、净娱乐、宽带上网等费用），在京外举办的培训由当地酒店提供食宿，统一安排，费用自理。</w:t>
      </w:r>
    </w:p>
    <w:p w14:paraId="542D7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2.缴费方式</w:t>
      </w:r>
    </w:p>
    <w:p w14:paraId="61608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（1）报到时现场刷卡或缴纳现金；</w:t>
      </w:r>
    </w:p>
    <w:p w14:paraId="60E49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（2）银行汇款（培训费可汇款，食宿费需当场缴纳现金）：</w:t>
      </w:r>
    </w:p>
    <w:p w14:paraId="7217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单位名称：北京国家会计学院</w:t>
      </w:r>
    </w:p>
    <w:p w14:paraId="17ED0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开户行：中国建设银行北京天竺支行（201）</w:t>
      </w:r>
    </w:p>
    <w:p w14:paraId="17C90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账号：1100 1020 1000 5603 0985</w:t>
      </w:r>
    </w:p>
    <w:p w14:paraId="7CC0B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、结业及考核</w:t>
      </w:r>
    </w:p>
    <w:p w14:paraId="6C361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完成全部课程学习后，获得由北京国家会计学院颁发的电子版结业证书。</w:t>
      </w:r>
    </w:p>
    <w:p w14:paraId="25A9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、报名方式</w:t>
      </w:r>
    </w:p>
    <w:p w14:paraId="2D1BD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请将报名回执表填写完整后发起报名联系人，我们会在开班前一周发报到通知。</w:t>
      </w:r>
    </w:p>
    <w:p w14:paraId="244B6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报名联系人：黄老师</w:t>
      </w:r>
    </w:p>
    <w:p w14:paraId="18C55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报名电话：13811202080</w:t>
      </w:r>
    </w:p>
    <w:p w14:paraId="5721D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报名邮箱：284828890@qq.com</w:t>
      </w:r>
    </w:p>
    <w:p w14:paraId="2796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27B6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07029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北京国家会计学院教务部</w:t>
      </w:r>
    </w:p>
    <w:p w14:paraId="1F886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2024年7月</w:t>
      </w:r>
    </w:p>
    <w:p w14:paraId="0EA1A76F">
      <w:pPr>
        <w:spacing w:line="454" w:lineRule="exact"/>
        <w:rPr>
          <w:rFonts w:hint="eastAsia" w:ascii="仿宋" w:hAnsi="仿宋" w:eastAsia="仿宋"/>
          <w:sz w:val="30"/>
          <w:szCs w:val="30"/>
        </w:rPr>
      </w:pPr>
    </w:p>
    <w:p w14:paraId="14E0D1A6">
      <w:pPr>
        <w:rPr>
          <w:rFonts w:ascii="仿宋" w:hAnsi="仿宋" w:eastAsia="仿宋"/>
          <w:sz w:val="30"/>
          <w:szCs w:val="30"/>
        </w:rPr>
      </w:pPr>
    </w:p>
    <w:p w14:paraId="425F5106">
      <w:pPr>
        <w:rPr>
          <w:rFonts w:ascii="仿宋" w:hAnsi="仿宋" w:eastAsia="仿宋"/>
          <w:sz w:val="30"/>
          <w:szCs w:val="30"/>
        </w:rPr>
      </w:pPr>
    </w:p>
    <w:p w14:paraId="22B082A8">
      <w:pPr>
        <w:rPr>
          <w:rFonts w:ascii="仿宋" w:hAnsi="仿宋" w:eastAsia="仿宋"/>
          <w:sz w:val="30"/>
          <w:szCs w:val="30"/>
        </w:rPr>
      </w:pPr>
    </w:p>
    <w:p w14:paraId="7B874E94">
      <w:pPr>
        <w:rPr>
          <w:rFonts w:ascii="仿宋" w:hAnsi="仿宋" w:eastAsia="仿宋"/>
          <w:sz w:val="30"/>
          <w:szCs w:val="30"/>
        </w:rPr>
      </w:pPr>
    </w:p>
    <w:p w14:paraId="7E8352AF">
      <w:pPr>
        <w:rPr>
          <w:rFonts w:ascii="仿宋" w:hAnsi="仿宋" w:eastAsia="仿宋"/>
          <w:sz w:val="30"/>
          <w:szCs w:val="30"/>
        </w:rPr>
      </w:pPr>
    </w:p>
    <w:p w14:paraId="731600C5">
      <w:pPr>
        <w:rPr>
          <w:rFonts w:hint="eastAsia" w:ascii="仿宋" w:hAnsi="仿宋" w:eastAsia="仿宋"/>
          <w:sz w:val="30"/>
          <w:szCs w:val="30"/>
        </w:rPr>
      </w:pPr>
    </w:p>
    <w:p w14:paraId="77FB80FD">
      <w:pP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br w:type="page"/>
      </w:r>
    </w:p>
    <w:p w14:paraId="6DD216FF">
      <w:pPr>
        <w:widowControl/>
        <w:spacing w:line="400" w:lineRule="exact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</w:rPr>
        <w:t>附件：</w:t>
      </w:r>
    </w:p>
    <w:p w14:paraId="07483F22">
      <w:pPr>
        <w:widowControl/>
        <w:spacing w:line="400" w:lineRule="exact"/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8"/>
          <w:szCs w:val="28"/>
        </w:rPr>
        <w:t>北京国家会计学院</w:t>
      </w:r>
    </w:p>
    <w:p w14:paraId="32BCE825">
      <w:pPr>
        <w:widowControl/>
        <w:spacing w:line="400" w:lineRule="exact"/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</w:rPr>
        <w:t>“基于战略与业财融合的全面预算管理与成本管控实践”</w:t>
      </w:r>
    </w:p>
    <w:p w14:paraId="3EBA7EED">
      <w:pPr>
        <w:widowControl/>
        <w:spacing w:line="400" w:lineRule="exact"/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高级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</w:rPr>
        <w:t>研修班</w:t>
      </w:r>
    </w:p>
    <w:p w14:paraId="6B2A17B1">
      <w:pPr>
        <w:widowControl/>
        <w:spacing w:line="400" w:lineRule="exact"/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8"/>
          <w:szCs w:val="28"/>
        </w:rPr>
        <w:t>报名回执表</w:t>
      </w:r>
    </w:p>
    <w:tbl>
      <w:tblPr>
        <w:tblStyle w:val="4"/>
        <w:tblpPr w:leftFromText="180" w:rightFromText="180" w:vertAnchor="text" w:horzAnchor="page" w:tblpX="1455" w:tblpY="156"/>
        <w:tblOverlap w:val="never"/>
        <w:tblW w:w="9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589"/>
        <w:gridCol w:w="715"/>
        <w:gridCol w:w="493"/>
        <w:gridCol w:w="187"/>
        <w:gridCol w:w="851"/>
        <w:gridCol w:w="737"/>
        <w:gridCol w:w="1105"/>
        <w:gridCol w:w="568"/>
        <w:gridCol w:w="223"/>
        <w:gridCol w:w="230"/>
        <w:gridCol w:w="540"/>
        <w:gridCol w:w="1964"/>
      </w:tblGrid>
      <w:tr w14:paraId="02AC7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E680">
            <w:pPr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color w:val="58595B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单位名称</w:t>
            </w:r>
          </w:p>
        </w:tc>
        <w:tc>
          <w:tcPr>
            <w:tcW w:w="82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9943">
            <w:pPr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color w:val="58595B"/>
                <w:szCs w:val="21"/>
              </w:rPr>
            </w:pPr>
          </w:p>
        </w:tc>
      </w:tr>
      <w:tr w14:paraId="0BEFE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57B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华文仿宋" w:hAnsi="华文仿宋" w:eastAsia="华文仿宋" w:cs="华文仿宋"/>
                <w:color w:val="58595B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9602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color w:val="58595B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843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58595B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职务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00C3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58595B"/>
                <w:szCs w:val="21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EDF7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58595B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电话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17EC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58595B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E753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58595B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邮箱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81FE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color w:val="58595B"/>
                <w:szCs w:val="21"/>
              </w:rPr>
            </w:pPr>
          </w:p>
        </w:tc>
      </w:tr>
      <w:tr w14:paraId="5BA4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166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学员姓名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4AA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50B1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部门</w:t>
            </w: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9BD92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职务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013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手机号码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4CD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电子邮箱</w:t>
            </w:r>
          </w:p>
        </w:tc>
      </w:tr>
      <w:tr w14:paraId="7263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661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673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1D51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8F4E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327B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B4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4498D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D38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8EA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FB6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7E6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F341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7C7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3E29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164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FD9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51CF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3BB2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D3C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0A7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4F9FB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0C2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5AF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C6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737C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978F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230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244FE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028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238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32F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D330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F24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CFE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4BB4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594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CA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0A8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9F3AF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C63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03E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3EA90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935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1E5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FAE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40F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B26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870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1BAB6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0D2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794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AAA1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F1E1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01F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960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6E8F0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1B3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844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华文仿宋" w:hAnsi="华文仿宋" w:eastAsia="华文仿宋" w:cs="华文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8C72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7C46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187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92A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</w:tr>
      <w:tr w14:paraId="277EE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324B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费用总计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5EF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 xml:space="preserve">万    仟  佰  拾  元整 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ADD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小写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B4A3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 w:firstLine="420" w:firstLineChars="200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￥：</w:t>
            </w:r>
          </w:p>
        </w:tc>
      </w:tr>
      <w:tr w14:paraId="6CA9B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3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D550">
            <w:pPr>
              <w:tabs>
                <w:tab w:val="left" w:pos="360"/>
                <w:tab w:val="left" w:pos="540"/>
              </w:tabs>
              <w:wordWrap w:val="0"/>
              <w:autoSpaceDN w:val="0"/>
              <w:spacing w:line="276" w:lineRule="auto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报名及汇款：</w:t>
            </w:r>
          </w:p>
          <w:p w14:paraId="16B3795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rPr>
                <w:rFonts w:hint="eastAsia"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1"/>
              </w:rPr>
              <w:t>报名表通过微信或邮件等方式发给报名联系人，开课前一周下发开课通知，确定开班后再将培训费电汇至北京国家会计学院。报名学员请以收到开课通知后再安排往返交通订票。</w:t>
            </w:r>
          </w:p>
        </w:tc>
      </w:tr>
      <w:tr w14:paraId="2FBE0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93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F848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报名咨询：</w:t>
            </w:r>
          </w:p>
          <w:p w14:paraId="4F0F58F9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联系人：黄老师   电话：13811202080    报名邮箱：284828890@qq.com</w:t>
            </w:r>
          </w:p>
        </w:tc>
      </w:tr>
    </w:tbl>
    <w:p w14:paraId="28928E8A">
      <w:pPr>
        <w:rPr>
          <w:rFonts w:hint="eastAsia"/>
        </w:rPr>
      </w:pPr>
    </w:p>
    <w:p w14:paraId="41B2ED6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0299E"/>
    <w:rsid w:val="0007514B"/>
    <w:rsid w:val="000D4A14"/>
    <w:rsid w:val="000E35F0"/>
    <w:rsid w:val="001057CC"/>
    <w:rsid w:val="00245855"/>
    <w:rsid w:val="002D344B"/>
    <w:rsid w:val="003E2441"/>
    <w:rsid w:val="00415075"/>
    <w:rsid w:val="00507854"/>
    <w:rsid w:val="005B0C4A"/>
    <w:rsid w:val="00606D39"/>
    <w:rsid w:val="00636608"/>
    <w:rsid w:val="006C7A3F"/>
    <w:rsid w:val="006E2B37"/>
    <w:rsid w:val="007076DC"/>
    <w:rsid w:val="00743673"/>
    <w:rsid w:val="007516B9"/>
    <w:rsid w:val="00781F5D"/>
    <w:rsid w:val="007B7385"/>
    <w:rsid w:val="007E3110"/>
    <w:rsid w:val="008278F2"/>
    <w:rsid w:val="00A048F2"/>
    <w:rsid w:val="00A3315D"/>
    <w:rsid w:val="00AB3B3B"/>
    <w:rsid w:val="00AB4938"/>
    <w:rsid w:val="00AE0EFC"/>
    <w:rsid w:val="00B43E2B"/>
    <w:rsid w:val="00C70F60"/>
    <w:rsid w:val="00CB189F"/>
    <w:rsid w:val="00CF58D8"/>
    <w:rsid w:val="00D0299E"/>
    <w:rsid w:val="00D12DC0"/>
    <w:rsid w:val="00D52657"/>
    <w:rsid w:val="00E00CF8"/>
    <w:rsid w:val="00E11876"/>
    <w:rsid w:val="00F64F24"/>
    <w:rsid w:val="00FA2BE1"/>
    <w:rsid w:val="2FB80B7E"/>
    <w:rsid w:val="4FB12D4B"/>
    <w:rsid w:val="723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2241</Words>
  <Characters>2388</Characters>
  <Lines>18</Lines>
  <Paragraphs>5</Paragraphs>
  <TotalTime>7</TotalTime>
  <ScaleCrop>false</ScaleCrop>
  <LinksUpToDate>false</LinksUpToDate>
  <CharactersWithSpaces>2412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2024-06-03T02:02:00Z</dcterms:created>
  <dc:creator>dong'gen huang</dc:creator>
  <cp:lastModifiedBy>兔小宇</cp:lastModifiedBy>
  <dcterms:modified xsi:type="dcterms:W3CDTF">2024-07-24T07:22:50Z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5701D7A100E84245BE373D330E9C98CF_13</vt:lpwstr>
  </property>
</Properties>
</file>