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360" w:lineRule="auto"/>
        <w:ind w:firstLine="321" w:firstLineChars="100"/>
        <w:jc w:val="center"/>
        <w:outlineLvl w:val="2"/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业财融合下的高校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财务管理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与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数字化建设</w:t>
      </w:r>
    </w:p>
    <w:p>
      <w:pPr>
        <w:widowControl/>
        <w:spacing w:before="240" w:after="240" w:line="360" w:lineRule="auto"/>
        <w:jc w:val="center"/>
        <w:outlineLvl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高级研修班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一、培训背景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</w:pPr>
      <w:bookmarkStart w:id="0" w:name="_Hlk43195155"/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发展新质生产力最首要的是创新，核心要素是科技创新。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高校是国家战略科技力量的重要与核心组成部分，在基础研究、关键核心技术攻关、成果转移转化等方面肩负着重要使命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。一流的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高校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必须有一流的财务服务保障与条件支撑。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高校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财务与资产管理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部门应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紧紧把握新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形势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下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高校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财务工作的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新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要求，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聚焦国家重大战略需要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，从财务治理能力建设与提升、财务管理体制机制的建立与完善、内控体系与监督体系的健全与防范、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智能财务系统的迭代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与升级等多方面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为高校高质量发展提供新引擎、构筑新优势。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为了提升高校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财务管理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服务能力，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更好地契合教学与科研需求，为师生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提供高质量财务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服务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北京国家会计学院依托多年在财务、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会计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培训领域丰富经验，特别是在承办国家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教育部会计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领军人才以及各省市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各行业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领军人才培养经验的基础上，202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年推出</w:t>
      </w: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shd w:val="clear" w:color="auto" w:fill="FFFFFF"/>
        </w:rPr>
        <w:t>“业财融合下的高校财务管理与数字化建设”高级研修班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。课程将围绕</w:t>
      </w:r>
      <w:bookmarkEnd w:id="0"/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数字化转型下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的高校成本管理、预算绩效管理、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国有资产管理、科研经费管理以及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内部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控制与内部审计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等内容，为高校财务管理人员开展各项工作提供关键性指导，规范、完善学校经费保障和管理机制，以财务管理推动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高等教育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改革的深化，提升资金使用效益和管理水平。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二、培训收益</w:t>
      </w:r>
    </w:p>
    <w:p>
      <w:pPr>
        <w:shd w:val="clear" w:color="auto" w:fill="FFFFFF"/>
        <w:spacing w:line="360" w:lineRule="auto"/>
        <w:ind w:left="210" w:leftChars="100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1.掌握高校治理及成本核算的具体方法和程序，全面提升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高校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管理水平和运行效率；</w:t>
      </w:r>
    </w:p>
    <w:p>
      <w:pPr>
        <w:shd w:val="clear" w:color="auto" w:fill="FFFFFF"/>
        <w:spacing w:line="360" w:lineRule="auto"/>
        <w:ind w:left="210" w:leftChars="100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2.掌握高校预算编制与绩效评价流程，提升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经费使用水平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；</w:t>
      </w:r>
    </w:p>
    <w:p>
      <w:pPr>
        <w:shd w:val="clear" w:color="auto" w:fill="FFFFFF"/>
        <w:spacing w:line="360" w:lineRule="auto"/>
        <w:ind w:left="210" w:leftChars="100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3.掌握高校信息化建设的实施路径，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推进财务管理服务改革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三、培训对象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1.高校领导、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院系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负责人及相关管理人员；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2.高校总会计师、财务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部门负责人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业务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骨干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以及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审计处（科）、资产管理部、政府采购部等工作人员。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3.高校、科研院所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  <w:lang w:val="en-US" w:eastAsia="zh-CN"/>
        </w:rPr>
        <w:t>的财务管理、会计系的</w:t>
      </w:r>
      <w:r>
        <w:rPr>
          <w:rFonts w:hint="eastAsia" w:ascii="仿宋" w:hAnsi="仿宋" w:eastAsia="仿宋" w:cs="仿宋"/>
          <w:bCs/>
          <w:kern w:val="0"/>
          <w:sz w:val="30"/>
          <w:szCs w:val="30"/>
          <w:shd w:val="clear" w:color="auto" w:fill="FFFFFF"/>
        </w:rPr>
        <w:t>授课教师。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四、课程内容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模块一：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高校财务管理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高校治理与成本管理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预算管理一体化重点工作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3.高校整体支出和项目支出的绩效评价实务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战略视角的高校财务分析体系构建分析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科研经费申报与管理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模块二：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内部控制和内部审计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1.高校经济责任审计与审计整改提升结果运用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内部控制视角下高校财务治理体系建设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模块三：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政府采购和国有资产管理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1.政府采购最新政策动态解析与应用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2.政府采购在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国有</w:t>
      </w:r>
      <w:r>
        <w:rPr>
          <w:rFonts w:hint="eastAsia" w:ascii="仿宋" w:hAnsi="仿宋" w:eastAsia="仿宋" w:cs="仿宋"/>
          <w:sz w:val="30"/>
          <w:szCs w:val="30"/>
        </w:rPr>
        <w:t>资产管理中的应用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3.资产管理最新政策解读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4.资产业务会计核算实务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模块四：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智能财务系统建设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1.高校财务管理体系信息化系统构建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2.高校智能报销系统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3.高校财务信息化管理的主要问题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4.案例分享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模块五：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高校财务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管理实践创新</w:t>
      </w:r>
    </w:p>
    <w:p>
      <w:pPr>
        <w:ind w:firstLine="600" w:firstLineChars="200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围绕“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高校财务管理实践创新</w:t>
      </w:r>
      <w:r>
        <w:rPr>
          <w:rFonts w:hint="eastAsia" w:ascii="仿宋" w:hAnsi="仿宋" w:eastAsia="仿宋" w:cs="仿宋"/>
          <w:sz w:val="30"/>
          <w:szCs w:val="30"/>
        </w:rPr>
        <w:t>”主题采取实践教学/结构化研讨/学术沙龙等方式教学，深入探讨高校财务管理需要在管理环境、制度设计、队伍建设等方面不断优化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内容</w:t>
      </w:r>
      <w:r>
        <w:rPr>
          <w:rFonts w:hint="eastAsia" w:ascii="仿宋" w:hAnsi="仿宋" w:eastAsia="仿宋" w:cs="仿宋"/>
          <w:sz w:val="30"/>
          <w:szCs w:val="30"/>
        </w:rPr>
        <w:t>以及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国内知名高校</w:t>
      </w:r>
      <w:r>
        <w:rPr>
          <w:rFonts w:hint="eastAsia" w:ascii="仿宋" w:hAnsi="仿宋" w:eastAsia="仿宋" w:cs="仿宋"/>
          <w:bCs/>
          <w:sz w:val="30"/>
          <w:szCs w:val="30"/>
        </w:rPr>
        <w:t>的具体实践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分享</w:t>
      </w:r>
      <w:r>
        <w:rPr>
          <w:rFonts w:hint="eastAsia" w:ascii="仿宋" w:hAnsi="仿宋" w:eastAsia="仿宋" w:cs="仿宋"/>
          <w:bCs/>
          <w:sz w:val="30"/>
          <w:szCs w:val="30"/>
        </w:rPr>
        <w:t>。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五、师资力量</w:t>
      </w:r>
    </w:p>
    <w:p>
      <w:pPr>
        <w:shd w:val="clear" w:color="auto" w:fill="FFFFFF"/>
        <w:spacing w:line="480" w:lineRule="exact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所有课程由北京国家会计学院精心组织的专门师资团队授课，授课老师分别来自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财政部、教育部等政府部门以及</w:t>
      </w:r>
      <w:r>
        <w:rPr>
          <w:rFonts w:hint="eastAsia" w:ascii="仿宋" w:hAnsi="仿宋" w:eastAsia="仿宋" w:cs="仿宋"/>
          <w:sz w:val="30"/>
          <w:szCs w:val="30"/>
        </w:rPr>
        <w:t>高校、实务界的专家，皆具有深厚理论功底及丰富实践经验。具体师资以实际课表为准。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、培训时间地点</w:t>
      </w:r>
    </w:p>
    <w:tbl>
      <w:tblPr>
        <w:tblStyle w:val="12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268"/>
        <w:gridCol w:w="1701"/>
        <w:gridCol w:w="2552"/>
        <w:gridCol w:w="1701"/>
        <w:gridCol w:w="10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期数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报到时间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培训时间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返程时间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第1期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7月18日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7月19日-21日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7月22日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青岛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第2期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7月23日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7月24日-26日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7月27日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成都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第3期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8月3日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8月4日-6日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8月7日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上海</w:t>
            </w:r>
          </w:p>
        </w:tc>
      </w:tr>
    </w:tbl>
    <w:p>
      <w:pPr>
        <w:pStyle w:val="10"/>
        <w:widowControl/>
        <w:spacing w:line="360" w:lineRule="atLeast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提示：培训班结束时间以开课通知或课程安排表为准。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kern w:val="0"/>
          <w:sz w:val="30"/>
          <w:szCs w:val="30"/>
        </w:rPr>
        <w:t>、结业及考核</w:t>
      </w:r>
      <w:bookmarkStart w:id="1" w:name="_GoBack"/>
      <w:bookmarkEnd w:id="1"/>
    </w:p>
    <w:p>
      <w:pPr>
        <w:pStyle w:val="10"/>
        <w:widowControl/>
        <w:spacing w:line="360" w:lineRule="atLeast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完成全部课程学习后，获得由北京国家会计学院颁发的电子版结业证书。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八、收费标准及缴费方式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1.收费标准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培训费：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sz w:val="30"/>
          <w:szCs w:val="30"/>
        </w:rPr>
        <w:t>00元/人（不含食宿）。</w:t>
      </w:r>
    </w:p>
    <w:p>
      <w:pPr>
        <w:pStyle w:val="4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/>
        </w:rPr>
        <w:t>食宿费：在北京国家会计学院举办的培训可提供食宿。就餐为自助餐，收费标准为120元/人天。住宿条件为单人标准间，收费标准普通间340元/人天，商务间550元/人天，新商务间650元/人天（住宿费用含游泳、健身、净娱乐、宽带上网等费用），在京外举办的培训由当地酒店提供食宿，统一安排，费用自理。</w:t>
      </w:r>
    </w:p>
    <w:p>
      <w:pPr>
        <w:pStyle w:val="4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/>
        </w:rPr>
        <w:t>2.缴费方式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（1）报到时现场刷卡或缴纳现金；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（2）银行汇款（培训费可汇款，食宿费需当场缴纳现金）：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单位名称：北京国家会计学院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开户行：中国建设银行北京天竺支行（201）</w:t>
      </w:r>
    </w:p>
    <w:p>
      <w:pPr>
        <w:pStyle w:val="4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00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账号：1100 1020 1000 5603 0985</w:t>
      </w:r>
    </w:p>
    <w:p>
      <w:pPr>
        <w:pStyle w:val="4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02" w:firstLineChars="200"/>
        <w:jc w:val="both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/>
        </w:rPr>
        <w:t>特别提示：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/>
        </w:rPr>
        <w:t>培训班如确定开班，学院将在开班前一周给学员发送《开课通知》。如因报名人数低于开班人数要求，学院有权取消该班，对学员已缴纳的费用予以全额退还，但不承担任何赔偿。对任何因信赖该班可以如期举行而导致的任何直接、间接损失，包括但不限于差旅费损失、误工费损失等，学院均不承担法律责任。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九、报名方式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请将报名回执表填写完整后发邮件，我们会在开班前一周发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报到通知。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报名联系人：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吴悦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报名电话：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18911280109</w:t>
      </w:r>
    </w:p>
    <w:p>
      <w:pPr>
        <w:pStyle w:val="3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十、联系我们</w:t>
      </w:r>
    </w:p>
    <w:p>
      <w:pPr>
        <w:widowControl/>
        <w:shd w:val="clear" w:color="auto" w:fill="FFFFFF"/>
        <w:spacing w:line="360" w:lineRule="auto"/>
        <w:ind w:firstLine="620" w:firstLineChars="200"/>
        <w:rPr>
          <w:rFonts w:hint="eastAsia" w:ascii="仿宋" w:hAnsi="仿宋" w:eastAsia="仿宋" w:cs="仿宋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仿宋"/>
          <w:spacing w:val="5"/>
          <w:kern w:val="0"/>
          <w:sz w:val="30"/>
          <w:szCs w:val="30"/>
        </w:rPr>
        <w:t>联系人：吴老师</w:t>
      </w:r>
    </w:p>
    <w:p>
      <w:pPr>
        <w:widowControl/>
        <w:shd w:val="clear" w:color="auto" w:fill="FFFFFF"/>
        <w:spacing w:line="360" w:lineRule="auto"/>
        <w:ind w:firstLine="620" w:firstLineChars="200"/>
        <w:rPr>
          <w:rFonts w:hint="eastAsia" w:ascii="仿宋" w:hAnsi="仿宋" w:eastAsia="仿宋" w:cs="仿宋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仿宋"/>
          <w:spacing w:val="5"/>
          <w:kern w:val="0"/>
          <w:sz w:val="30"/>
          <w:szCs w:val="30"/>
        </w:rPr>
        <w:t>电话：010-64505065</w:t>
      </w:r>
    </w:p>
    <w:p>
      <w:pPr>
        <w:widowControl/>
        <w:shd w:val="clear" w:color="auto" w:fill="FFFFFF"/>
        <w:spacing w:line="360" w:lineRule="auto"/>
        <w:ind w:firstLine="67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5"/>
          <w:kern w:val="0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"mailto:wuty@mail.nai.edu.cn"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FF"/>
          <w:spacing w:val="5"/>
          <w:kern w:val="0"/>
          <w:sz w:val="30"/>
          <w:szCs w:val="30"/>
          <w:u w:val="single"/>
        </w:rPr>
        <w:t>wut@mail.nai.edu.cn</w:t>
      </w:r>
      <w:r>
        <w:rPr>
          <w:rFonts w:hint="eastAsia" w:ascii="仿宋" w:hAnsi="仿宋" w:eastAsia="仿宋" w:cs="仿宋"/>
          <w:color w:val="0000FF"/>
          <w:spacing w:val="5"/>
          <w:kern w:val="0"/>
          <w:sz w:val="30"/>
          <w:szCs w:val="30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Y2Y2MGM0MTc4YWEwNzhiN2YzMjczOWNkOTBlZmQifQ=="/>
  </w:docVars>
  <w:rsids>
    <w:rsidRoot w:val="1151444B"/>
    <w:rsid w:val="0000249A"/>
    <w:rsid w:val="000152D4"/>
    <w:rsid w:val="00047DBB"/>
    <w:rsid w:val="00063028"/>
    <w:rsid w:val="000717DC"/>
    <w:rsid w:val="00071BB2"/>
    <w:rsid w:val="00077838"/>
    <w:rsid w:val="00085FC3"/>
    <w:rsid w:val="000A6873"/>
    <w:rsid w:val="000C0727"/>
    <w:rsid w:val="000C2EA7"/>
    <w:rsid w:val="000E786C"/>
    <w:rsid w:val="001037D6"/>
    <w:rsid w:val="00106CB7"/>
    <w:rsid w:val="0011116D"/>
    <w:rsid w:val="00126E09"/>
    <w:rsid w:val="00132CB1"/>
    <w:rsid w:val="001961A6"/>
    <w:rsid w:val="001A20E7"/>
    <w:rsid w:val="001A37CE"/>
    <w:rsid w:val="001C43EC"/>
    <w:rsid w:val="001E34F6"/>
    <w:rsid w:val="001F600D"/>
    <w:rsid w:val="002000D8"/>
    <w:rsid w:val="00206CD5"/>
    <w:rsid w:val="002273C5"/>
    <w:rsid w:val="0023369D"/>
    <w:rsid w:val="00242654"/>
    <w:rsid w:val="002632CD"/>
    <w:rsid w:val="00276F09"/>
    <w:rsid w:val="00277081"/>
    <w:rsid w:val="002934EE"/>
    <w:rsid w:val="002D05B0"/>
    <w:rsid w:val="002D2D34"/>
    <w:rsid w:val="002E0C99"/>
    <w:rsid w:val="00303920"/>
    <w:rsid w:val="00306912"/>
    <w:rsid w:val="003132C9"/>
    <w:rsid w:val="0031594C"/>
    <w:rsid w:val="00317D80"/>
    <w:rsid w:val="00333B95"/>
    <w:rsid w:val="00354DD1"/>
    <w:rsid w:val="00361CD6"/>
    <w:rsid w:val="003659BC"/>
    <w:rsid w:val="0038161F"/>
    <w:rsid w:val="003852BC"/>
    <w:rsid w:val="003A205D"/>
    <w:rsid w:val="003A7A2E"/>
    <w:rsid w:val="003A7E62"/>
    <w:rsid w:val="003C699E"/>
    <w:rsid w:val="003F37C2"/>
    <w:rsid w:val="00414F5E"/>
    <w:rsid w:val="0041556B"/>
    <w:rsid w:val="00441B63"/>
    <w:rsid w:val="00442310"/>
    <w:rsid w:val="00450A91"/>
    <w:rsid w:val="00455A68"/>
    <w:rsid w:val="00473EB4"/>
    <w:rsid w:val="00476E1F"/>
    <w:rsid w:val="00481468"/>
    <w:rsid w:val="004B0738"/>
    <w:rsid w:val="004B4E84"/>
    <w:rsid w:val="004E4E5E"/>
    <w:rsid w:val="004F2FF4"/>
    <w:rsid w:val="00511287"/>
    <w:rsid w:val="00584C0E"/>
    <w:rsid w:val="00593CEE"/>
    <w:rsid w:val="005E429E"/>
    <w:rsid w:val="005F72E8"/>
    <w:rsid w:val="006218AD"/>
    <w:rsid w:val="00626929"/>
    <w:rsid w:val="006274B7"/>
    <w:rsid w:val="00641F92"/>
    <w:rsid w:val="00674D91"/>
    <w:rsid w:val="006775F0"/>
    <w:rsid w:val="0069592B"/>
    <w:rsid w:val="006A2EF9"/>
    <w:rsid w:val="006F481B"/>
    <w:rsid w:val="006F5103"/>
    <w:rsid w:val="006F5E9C"/>
    <w:rsid w:val="00745CD3"/>
    <w:rsid w:val="0074669B"/>
    <w:rsid w:val="00755D42"/>
    <w:rsid w:val="00760D28"/>
    <w:rsid w:val="007650B4"/>
    <w:rsid w:val="00773504"/>
    <w:rsid w:val="00790312"/>
    <w:rsid w:val="007C3739"/>
    <w:rsid w:val="007F018C"/>
    <w:rsid w:val="007F266D"/>
    <w:rsid w:val="008143C3"/>
    <w:rsid w:val="0082118F"/>
    <w:rsid w:val="00844302"/>
    <w:rsid w:val="00846D77"/>
    <w:rsid w:val="008610E5"/>
    <w:rsid w:val="00874615"/>
    <w:rsid w:val="00885354"/>
    <w:rsid w:val="008A36A6"/>
    <w:rsid w:val="008A3BAB"/>
    <w:rsid w:val="008C2095"/>
    <w:rsid w:val="008C5C70"/>
    <w:rsid w:val="0090076F"/>
    <w:rsid w:val="00912FE1"/>
    <w:rsid w:val="009529BE"/>
    <w:rsid w:val="0098664D"/>
    <w:rsid w:val="00986C09"/>
    <w:rsid w:val="00992601"/>
    <w:rsid w:val="009A5218"/>
    <w:rsid w:val="009B2EBF"/>
    <w:rsid w:val="009B637E"/>
    <w:rsid w:val="009B6920"/>
    <w:rsid w:val="009C2664"/>
    <w:rsid w:val="009C661A"/>
    <w:rsid w:val="00A15E80"/>
    <w:rsid w:val="00A230BE"/>
    <w:rsid w:val="00A24B76"/>
    <w:rsid w:val="00A25288"/>
    <w:rsid w:val="00A3008C"/>
    <w:rsid w:val="00A30545"/>
    <w:rsid w:val="00A40941"/>
    <w:rsid w:val="00A40E68"/>
    <w:rsid w:val="00A471B8"/>
    <w:rsid w:val="00A83EA5"/>
    <w:rsid w:val="00A87869"/>
    <w:rsid w:val="00A9163A"/>
    <w:rsid w:val="00AB138B"/>
    <w:rsid w:val="00AB49C1"/>
    <w:rsid w:val="00AD50D9"/>
    <w:rsid w:val="00AF0BDF"/>
    <w:rsid w:val="00B344E5"/>
    <w:rsid w:val="00B46E4B"/>
    <w:rsid w:val="00B64FC5"/>
    <w:rsid w:val="00B873D4"/>
    <w:rsid w:val="00BA0F27"/>
    <w:rsid w:val="00BA7021"/>
    <w:rsid w:val="00BA7C0E"/>
    <w:rsid w:val="00BB5B39"/>
    <w:rsid w:val="00BD43A5"/>
    <w:rsid w:val="00BD5387"/>
    <w:rsid w:val="00BE28ED"/>
    <w:rsid w:val="00BE38DD"/>
    <w:rsid w:val="00BF60FF"/>
    <w:rsid w:val="00C00DD3"/>
    <w:rsid w:val="00C07660"/>
    <w:rsid w:val="00C27D89"/>
    <w:rsid w:val="00C42F1A"/>
    <w:rsid w:val="00C55162"/>
    <w:rsid w:val="00C777A6"/>
    <w:rsid w:val="00C9313D"/>
    <w:rsid w:val="00CC0138"/>
    <w:rsid w:val="00CC4A16"/>
    <w:rsid w:val="00CF32B8"/>
    <w:rsid w:val="00D134A5"/>
    <w:rsid w:val="00D3452F"/>
    <w:rsid w:val="00D4226D"/>
    <w:rsid w:val="00D4743B"/>
    <w:rsid w:val="00D50846"/>
    <w:rsid w:val="00D536BA"/>
    <w:rsid w:val="00D80467"/>
    <w:rsid w:val="00D80FBD"/>
    <w:rsid w:val="00D93679"/>
    <w:rsid w:val="00D942F3"/>
    <w:rsid w:val="00D95FA2"/>
    <w:rsid w:val="00D966C6"/>
    <w:rsid w:val="00DA29FF"/>
    <w:rsid w:val="00DC3578"/>
    <w:rsid w:val="00DC5C73"/>
    <w:rsid w:val="00DD7280"/>
    <w:rsid w:val="00DE4579"/>
    <w:rsid w:val="00DF329B"/>
    <w:rsid w:val="00DF5127"/>
    <w:rsid w:val="00E24F63"/>
    <w:rsid w:val="00E30E65"/>
    <w:rsid w:val="00E532DA"/>
    <w:rsid w:val="00E73C7D"/>
    <w:rsid w:val="00E95F19"/>
    <w:rsid w:val="00EB124F"/>
    <w:rsid w:val="00EC2A3F"/>
    <w:rsid w:val="00EC691F"/>
    <w:rsid w:val="00EE1892"/>
    <w:rsid w:val="00F00157"/>
    <w:rsid w:val="00F148A6"/>
    <w:rsid w:val="00F34B78"/>
    <w:rsid w:val="00F43094"/>
    <w:rsid w:val="00F4662D"/>
    <w:rsid w:val="00F7186E"/>
    <w:rsid w:val="00F8239B"/>
    <w:rsid w:val="00F9402F"/>
    <w:rsid w:val="00F96AD7"/>
    <w:rsid w:val="00FB6641"/>
    <w:rsid w:val="00FD4A3A"/>
    <w:rsid w:val="00FF7AC5"/>
    <w:rsid w:val="0195257A"/>
    <w:rsid w:val="03320FED"/>
    <w:rsid w:val="05DD52CF"/>
    <w:rsid w:val="0606437C"/>
    <w:rsid w:val="07442078"/>
    <w:rsid w:val="08A817FB"/>
    <w:rsid w:val="099C35ED"/>
    <w:rsid w:val="0BCA15F3"/>
    <w:rsid w:val="1151444B"/>
    <w:rsid w:val="120728D2"/>
    <w:rsid w:val="122C0F19"/>
    <w:rsid w:val="12FD4851"/>
    <w:rsid w:val="13B53EB9"/>
    <w:rsid w:val="1A422C9E"/>
    <w:rsid w:val="1BD2579B"/>
    <w:rsid w:val="1C29053B"/>
    <w:rsid w:val="1D195A02"/>
    <w:rsid w:val="1D63387F"/>
    <w:rsid w:val="1DEF0425"/>
    <w:rsid w:val="21326A4C"/>
    <w:rsid w:val="260C16A6"/>
    <w:rsid w:val="261E1871"/>
    <w:rsid w:val="2B3475CF"/>
    <w:rsid w:val="2D161A5C"/>
    <w:rsid w:val="328E5A18"/>
    <w:rsid w:val="32FB72E7"/>
    <w:rsid w:val="339949E8"/>
    <w:rsid w:val="35CC0F29"/>
    <w:rsid w:val="39473136"/>
    <w:rsid w:val="3D364206"/>
    <w:rsid w:val="3D96660D"/>
    <w:rsid w:val="4009586A"/>
    <w:rsid w:val="406141E5"/>
    <w:rsid w:val="40A8235A"/>
    <w:rsid w:val="415041F0"/>
    <w:rsid w:val="4341060D"/>
    <w:rsid w:val="448736B1"/>
    <w:rsid w:val="457E0D66"/>
    <w:rsid w:val="45B305BF"/>
    <w:rsid w:val="46487402"/>
    <w:rsid w:val="46492C2C"/>
    <w:rsid w:val="47CE15EA"/>
    <w:rsid w:val="4C4113CF"/>
    <w:rsid w:val="4CF71E51"/>
    <w:rsid w:val="4E3A2533"/>
    <w:rsid w:val="4F8B612E"/>
    <w:rsid w:val="526346F5"/>
    <w:rsid w:val="52E53E64"/>
    <w:rsid w:val="53367613"/>
    <w:rsid w:val="53382BAC"/>
    <w:rsid w:val="54A13798"/>
    <w:rsid w:val="560464FD"/>
    <w:rsid w:val="567A2399"/>
    <w:rsid w:val="56962CFC"/>
    <w:rsid w:val="59BA76C3"/>
    <w:rsid w:val="59C812C8"/>
    <w:rsid w:val="62E23CF1"/>
    <w:rsid w:val="641420E0"/>
    <w:rsid w:val="6573002F"/>
    <w:rsid w:val="685B1CEA"/>
    <w:rsid w:val="688008E5"/>
    <w:rsid w:val="690F13DF"/>
    <w:rsid w:val="6998028B"/>
    <w:rsid w:val="6AA16C25"/>
    <w:rsid w:val="6BDC35A6"/>
    <w:rsid w:val="6BEB675A"/>
    <w:rsid w:val="6C43258D"/>
    <w:rsid w:val="6DA35F48"/>
    <w:rsid w:val="700A6768"/>
    <w:rsid w:val="7041193B"/>
    <w:rsid w:val="71DA6F04"/>
    <w:rsid w:val="72B4277C"/>
    <w:rsid w:val="73112239"/>
    <w:rsid w:val="73A32983"/>
    <w:rsid w:val="74E05EE2"/>
    <w:rsid w:val="761422CC"/>
    <w:rsid w:val="76A95DA5"/>
    <w:rsid w:val="77C27642"/>
    <w:rsid w:val="78312D8A"/>
    <w:rsid w:val="7B123D0B"/>
    <w:rsid w:val="7BD53F0B"/>
    <w:rsid w:val="7DB31497"/>
    <w:rsid w:val="7E0D007F"/>
    <w:rsid w:val="7F243966"/>
    <w:rsid w:val="7FCA101B"/>
    <w:rsid w:val="7FF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link w:val="3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1"/>
    <w:pPr>
      <w:autoSpaceDE w:val="0"/>
      <w:autoSpaceDN w:val="0"/>
      <w:adjustRightInd w:val="0"/>
      <w:spacing w:before="7"/>
      <w:ind w:left="1417"/>
      <w:jc w:val="left"/>
    </w:pPr>
    <w:rPr>
      <w:rFonts w:ascii="PMingLiU" w:hAnsi="Times New Roman" w:eastAsia="PMingLiU" w:cs="PMingLiU"/>
      <w:kern w:val="0"/>
      <w:szCs w:val="21"/>
    </w:rPr>
  </w:style>
  <w:style w:type="paragraph" w:styleId="7">
    <w:name w:val="Balloon Text"/>
    <w:basedOn w:val="1"/>
    <w:link w:val="27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annotation subject"/>
    <w:basedOn w:val="5"/>
    <w:next w:val="5"/>
    <w:link w:val="38"/>
    <w:autoRedefine/>
    <w:semiHidden/>
    <w:unhideWhenUsed/>
    <w:qFormat/>
    <w:uiPriority w:val="0"/>
    <w:rPr>
      <w:b/>
      <w:bCs/>
    </w:rPr>
  </w:style>
  <w:style w:type="character" w:styleId="14">
    <w:name w:val="Strong"/>
    <w:autoRedefine/>
    <w:qFormat/>
    <w:uiPriority w:val="22"/>
    <w:rPr>
      <w:b/>
      <w:bCs/>
    </w:rPr>
  </w:style>
  <w:style w:type="character" w:styleId="15">
    <w:name w:val="FollowedHyperlink"/>
    <w:basedOn w:val="13"/>
    <w:autoRedefine/>
    <w:qFormat/>
    <w:uiPriority w:val="0"/>
    <w:rPr>
      <w:color w:val="666666"/>
      <w:u w:val="single"/>
    </w:rPr>
  </w:style>
  <w:style w:type="character" w:styleId="16">
    <w:name w:val="HTML Definition"/>
    <w:basedOn w:val="13"/>
    <w:autoRedefine/>
    <w:qFormat/>
    <w:uiPriority w:val="0"/>
    <w:rPr>
      <w:i/>
    </w:rPr>
  </w:style>
  <w:style w:type="character" w:styleId="17">
    <w:name w:val="Hyperlink"/>
    <w:autoRedefine/>
    <w:semiHidden/>
    <w:unhideWhenUsed/>
    <w:qFormat/>
    <w:uiPriority w:val="0"/>
    <w:rPr>
      <w:color w:val="0000FF"/>
      <w:u w:val="single"/>
    </w:rPr>
  </w:style>
  <w:style w:type="character" w:styleId="18">
    <w:name w:val="HTML Code"/>
    <w:basedOn w:val="13"/>
    <w:autoRedefine/>
    <w:qFormat/>
    <w:uiPriority w:val="0"/>
    <w:rPr>
      <w:rFonts w:ascii="serif" w:hAnsi="serif" w:eastAsia="serif" w:cs="serif"/>
      <w:sz w:val="21"/>
      <w:szCs w:val="21"/>
    </w:rPr>
  </w:style>
  <w:style w:type="character" w:styleId="19">
    <w:name w:val="annotation reference"/>
    <w:basedOn w:val="13"/>
    <w:autoRedefine/>
    <w:qFormat/>
    <w:uiPriority w:val="0"/>
    <w:rPr>
      <w:sz w:val="21"/>
      <w:szCs w:val="21"/>
    </w:rPr>
  </w:style>
  <w:style w:type="character" w:styleId="20">
    <w:name w:val="HTML Keyboard"/>
    <w:basedOn w:val="13"/>
    <w:autoRedefine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1">
    <w:name w:val="HTML Sample"/>
    <w:basedOn w:val="13"/>
    <w:autoRedefine/>
    <w:qFormat/>
    <w:uiPriority w:val="0"/>
    <w:rPr>
      <w:rFonts w:hint="default" w:ascii="serif" w:hAnsi="serif" w:eastAsia="serif" w:cs="serif"/>
      <w:sz w:val="21"/>
      <w:szCs w:val="21"/>
    </w:rPr>
  </w:style>
  <w:style w:type="paragraph" w:styleId="22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List Paragraph1"/>
    <w:basedOn w:val="1"/>
    <w:autoRedefine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页眉 Char"/>
    <w:basedOn w:val="13"/>
    <w:link w:val="9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3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批注框文本 Char"/>
    <w:basedOn w:val="13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newd2"/>
    <w:basedOn w:val="13"/>
    <w:autoRedefine/>
    <w:qFormat/>
    <w:uiPriority w:val="0"/>
    <w:rPr>
      <w:sz w:val="24"/>
      <w:szCs w:val="24"/>
    </w:rPr>
  </w:style>
  <w:style w:type="character" w:customStyle="1" w:styleId="29">
    <w:name w:val="bsharetext"/>
    <w:basedOn w:val="13"/>
    <w:autoRedefine/>
    <w:qFormat/>
    <w:uiPriority w:val="0"/>
  </w:style>
  <w:style w:type="character" w:customStyle="1" w:styleId="30">
    <w:name w:val="ftlx"/>
    <w:basedOn w:val="13"/>
    <w:autoRedefine/>
    <w:qFormat/>
    <w:uiPriority w:val="0"/>
  </w:style>
  <w:style w:type="character" w:customStyle="1" w:styleId="31">
    <w:name w:val="标题 3 Char"/>
    <w:basedOn w:val="13"/>
    <w:link w:val="3"/>
    <w:autoRedefine/>
    <w:qFormat/>
    <w:uiPriority w:val="9"/>
    <w:rPr>
      <w:rFonts w:asciiTheme="minorHAnsi" w:hAnsiTheme="minorHAnsi" w:cstheme="minorBidi"/>
      <w:b/>
      <w:bCs/>
      <w:kern w:val="2"/>
      <w:sz w:val="32"/>
      <w:szCs w:val="32"/>
    </w:rPr>
  </w:style>
  <w:style w:type="character" w:customStyle="1" w:styleId="32">
    <w:name w:val="on"/>
    <w:basedOn w:val="13"/>
    <w:autoRedefine/>
    <w:qFormat/>
    <w:uiPriority w:val="0"/>
    <w:rPr>
      <w:b/>
      <w:bCs/>
      <w:color w:val="004B85"/>
    </w:rPr>
  </w:style>
  <w:style w:type="character" w:customStyle="1" w:styleId="33">
    <w:name w:val="on1"/>
    <w:basedOn w:val="13"/>
    <w:autoRedefine/>
    <w:qFormat/>
    <w:uiPriority w:val="0"/>
    <w:rPr>
      <w:b/>
      <w:bCs/>
      <w:color w:val="195482"/>
    </w:rPr>
  </w:style>
  <w:style w:type="character" w:customStyle="1" w:styleId="34">
    <w:name w:val="on2"/>
    <w:basedOn w:val="13"/>
    <w:autoRedefine/>
    <w:qFormat/>
    <w:uiPriority w:val="0"/>
    <w:rPr>
      <w:color w:val="195482"/>
    </w:rPr>
  </w:style>
  <w:style w:type="character" w:customStyle="1" w:styleId="35">
    <w:name w:val="on3"/>
    <w:basedOn w:val="13"/>
    <w:autoRedefine/>
    <w:qFormat/>
    <w:uiPriority w:val="0"/>
    <w:rPr>
      <w:b/>
      <w:bCs/>
      <w:color w:val="195383"/>
    </w:rPr>
  </w:style>
  <w:style w:type="character" w:customStyle="1" w:styleId="36">
    <w:name w:val="current"/>
    <w:basedOn w:val="13"/>
    <w:autoRedefine/>
    <w:qFormat/>
    <w:uiPriority w:val="0"/>
    <w:rPr>
      <w:color w:val="333333"/>
    </w:rPr>
  </w:style>
  <w:style w:type="character" w:customStyle="1" w:styleId="37">
    <w:name w:val="批注文字 Char"/>
    <w:basedOn w:val="13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8">
    <w:name w:val="批注主题 Char"/>
    <w:basedOn w:val="37"/>
    <w:link w:val="11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9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默认"/>
    <w:autoRedefine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109</TotalTime>
  <ScaleCrop>false</ScaleCrop>
  <LinksUpToDate>false</LinksUpToDate>
  <CharactersWithSpaces>1293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2022-03-28T10:49:00Z</dcterms:created>
  <dc:creator>admin</dc:creator>
  <cp:lastModifiedBy>胡琳</cp:lastModifiedBy>
  <cp:lastPrinted>2022-03-29T07:53:00Z</cp:lastPrinted>
  <dcterms:modified xsi:type="dcterms:W3CDTF">2024-05-10T07:11:15Z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7D065A83CE4340ACB39DEFD7BD484173_13</vt:lpwstr>
  </property>
</Properties>
</file>