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b/>
          <w:sz w:val="36"/>
          <w:szCs w:val="32"/>
        </w:rPr>
      </w:pPr>
      <w:r>
        <w:rPr>
          <w:rFonts w:hint="eastAsia" w:ascii="仿宋_GB2312" w:eastAsia="仿宋_GB2312"/>
          <w:b/>
          <w:sz w:val="36"/>
          <w:szCs w:val="32"/>
          <w:lang w:val="en-US" w:eastAsia="zh-CN"/>
        </w:rPr>
        <w:t xml:space="preserve"> </w:t>
      </w:r>
      <w:r>
        <w:rPr>
          <w:rFonts w:hint="eastAsia" w:ascii="仿宋_GB2312" w:eastAsia="仿宋_GB2312"/>
          <w:b/>
          <w:sz w:val="36"/>
          <w:szCs w:val="32"/>
        </w:rPr>
        <w:t xml:space="preserve"> “企业数据</w:t>
      </w:r>
      <w:r>
        <w:rPr>
          <w:rFonts w:hint="eastAsia" w:ascii="仿宋_GB2312" w:eastAsia="仿宋_GB2312"/>
          <w:b/>
          <w:sz w:val="36"/>
          <w:szCs w:val="32"/>
          <w:lang w:val="en-US" w:eastAsia="zh-CN"/>
        </w:rPr>
        <w:t>资源</w:t>
      </w:r>
      <w:r>
        <w:rPr>
          <w:rFonts w:hint="eastAsia" w:ascii="仿宋_GB2312" w:eastAsia="仿宋_GB2312"/>
          <w:b/>
          <w:sz w:val="36"/>
          <w:szCs w:val="32"/>
        </w:rPr>
        <w:t>管理与价值创造”高级研修班</w:t>
      </w:r>
    </w:p>
    <w:p>
      <w:pPr>
        <w:jc w:val="center"/>
        <w:rPr>
          <w:rFonts w:ascii="仿宋_GB2312" w:eastAsia="仿宋_GB2312"/>
          <w:b/>
          <w:sz w:val="36"/>
          <w:szCs w:val="32"/>
        </w:rPr>
      </w:pPr>
      <w:r>
        <w:rPr>
          <w:rFonts w:hint="eastAsia" w:ascii="仿宋_GB2312" w:eastAsia="仿宋_GB2312"/>
          <w:b/>
          <w:sz w:val="36"/>
          <w:szCs w:val="32"/>
        </w:rPr>
        <w:t>招</w:t>
      </w:r>
      <w:r>
        <w:rPr>
          <w:rFonts w:hint="eastAsia" w:ascii="仿宋_GB2312" w:eastAsia="仿宋_GB2312"/>
          <w:b/>
          <w:sz w:val="36"/>
          <w:szCs w:val="32"/>
          <w:lang w:val="en-US" w:eastAsia="zh-CN"/>
        </w:rPr>
        <w:t xml:space="preserve"> </w:t>
      </w:r>
      <w:r>
        <w:rPr>
          <w:rFonts w:hint="eastAsia" w:ascii="仿宋_GB2312" w:eastAsia="仿宋_GB2312"/>
          <w:b/>
          <w:sz w:val="36"/>
          <w:szCs w:val="32"/>
        </w:rPr>
        <w:t>生</w:t>
      </w:r>
      <w:r>
        <w:rPr>
          <w:rFonts w:hint="eastAsia" w:ascii="仿宋_GB2312" w:eastAsia="仿宋_GB2312"/>
          <w:b/>
          <w:sz w:val="36"/>
          <w:szCs w:val="32"/>
          <w:lang w:val="en-US" w:eastAsia="zh-CN"/>
        </w:rPr>
        <w:t xml:space="preserve"> </w:t>
      </w:r>
      <w:r>
        <w:rPr>
          <w:rFonts w:hint="eastAsia" w:ascii="仿宋_GB2312" w:eastAsia="仿宋_GB2312"/>
          <w:b/>
          <w:sz w:val="36"/>
          <w:szCs w:val="32"/>
        </w:rPr>
        <w:t>简</w:t>
      </w:r>
      <w:r>
        <w:rPr>
          <w:rFonts w:hint="eastAsia" w:ascii="仿宋_GB2312" w:eastAsia="仿宋_GB2312"/>
          <w:b/>
          <w:sz w:val="36"/>
          <w:szCs w:val="32"/>
          <w:lang w:val="en-US" w:eastAsia="zh-CN"/>
        </w:rPr>
        <w:t xml:space="preserve"> </w:t>
      </w:r>
      <w:r>
        <w:rPr>
          <w:rFonts w:hint="eastAsia" w:ascii="仿宋_GB2312" w:eastAsia="仿宋_GB2312"/>
          <w:b/>
          <w:sz w:val="36"/>
          <w:szCs w:val="32"/>
        </w:rPr>
        <w:t>章</w:t>
      </w:r>
    </w:p>
    <w:p>
      <w:pPr>
        <w:rPr>
          <w:rFonts w:ascii="仿宋_GB2312" w:eastAsia="仿宋_GB2312"/>
          <w:b/>
          <w:bCs/>
          <w:sz w:val="32"/>
          <w:szCs w:val="32"/>
        </w:rPr>
      </w:pPr>
      <w:r>
        <w:rPr>
          <w:rFonts w:hint="eastAsia" w:ascii="仿宋_GB2312" w:eastAsia="仿宋_GB2312"/>
          <w:b/>
          <w:bCs/>
          <w:sz w:val="32"/>
          <w:szCs w:val="32"/>
        </w:rPr>
        <w:t>一、培训背景</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中国经济已经进入到高质量发展新阶段，</w:t>
      </w:r>
      <w:r>
        <w:rPr>
          <w:rFonts w:hint="eastAsia" w:ascii="仿宋_GB2312" w:eastAsia="仿宋_GB2312"/>
          <w:sz w:val="32"/>
          <w:szCs w:val="32"/>
          <w:lang w:eastAsia="zh-CN"/>
        </w:rPr>
        <w:t>数据资产作为经济社会数字化转型中的新兴资产类型已在社会中得到广泛共识。</w:t>
      </w:r>
      <w:r>
        <w:rPr>
          <w:rFonts w:hint="eastAsia" w:ascii="仿宋_GB2312" w:eastAsia="仿宋_GB2312"/>
          <w:sz w:val="32"/>
          <w:szCs w:val="32"/>
          <w:lang w:val="en-US" w:eastAsia="zh-CN"/>
        </w:rPr>
        <w:t>财政部陆续印发</w:t>
      </w:r>
      <w:r>
        <w:rPr>
          <w:rFonts w:ascii="仿宋_GB2312" w:eastAsia="仿宋_GB2312"/>
          <w:sz w:val="32"/>
          <w:szCs w:val="32"/>
        </w:rPr>
        <w:t>《企业数据资源相关会计处理暂行规定》</w:t>
      </w:r>
      <w:r>
        <w:rPr>
          <w:rFonts w:hint="eastAsia" w:ascii="仿宋_GB2312" w:eastAsia="仿宋_GB2312"/>
          <w:sz w:val="32"/>
          <w:szCs w:val="32"/>
          <w:lang w:val="en-US" w:eastAsia="zh-CN"/>
        </w:rPr>
        <w:t>《关于加强数据资产管理的指导意见》等文件，体现了对数据资产管理的重要性和迫切性</w:t>
      </w:r>
      <w:r>
        <w:rPr>
          <w:rFonts w:hint="eastAsia" w:ascii="仿宋_GB2312" w:eastAsia="仿宋_GB2312"/>
          <w:sz w:val="32"/>
          <w:szCs w:val="32"/>
          <w:lang w:eastAsia="zh-CN"/>
        </w:rPr>
        <w:t>。数据作为第五大生产要素已成为驱动企业发展和提升竞争力的关键突破点。洞悉趋势，看穿本质，数据要素将深刻改变企业原有经营理念和资产结构，</w:t>
      </w:r>
      <w:r>
        <w:rPr>
          <w:rFonts w:hint="eastAsia" w:ascii="仿宋_GB2312" w:eastAsia="仿宋_GB2312"/>
          <w:sz w:val="32"/>
          <w:szCs w:val="32"/>
        </w:rPr>
        <w:t>如何将</w:t>
      </w:r>
      <w:r>
        <w:rPr>
          <w:rFonts w:ascii="仿宋_GB2312" w:eastAsia="仿宋_GB2312"/>
          <w:sz w:val="32"/>
          <w:szCs w:val="32"/>
        </w:rPr>
        <w:t>数据</w:t>
      </w:r>
      <w:r>
        <w:rPr>
          <w:rFonts w:hint="eastAsia" w:ascii="仿宋_GB2312" w:eastAsia="仿宋_GB2312"/>
          <w:sz w:val="32"/>
          <w:szCs w:val="32"/>
        </w:rPr>
        <w:t>资源</w:t>
      </w:r>
      <w:r>
        <w:rPr>
          <w:rFonts w:ascii="仿宋_GB2312" w:eastAsia="仿宋_GB2312"/>
          <w:sz w:val="32"/>
          <w:szCs w:val="32"/>
        </w:rPr>
        <w:t>化、资源产品化</w:t>
      </w:r>
      <w:r>
        <w:rPr>
          <w:rFonts w:hint="eastAsia" w:ascii="仿宋_GB2312" w:eastAsia="仿宋_GB2312"/>
          <w:sz w:val="32"/>
          <w:szCs w:val="32"/>
        </w:rPr>
        <w:t>、产品</w:t>
      </w:r>
      <w:r>
        <w:rPr>
          <w:rFonts w:ascii="仿宋_GB2312" w:eastAsia="仿宋_GB2312"/>
          <w:sz w:val="32"/>
          <w:szCs w:val="32"/>
        </w:rPr>
        <w:t>价值化</w:t>
      </w:r>
      <w:r>
        <w:rPr>
          <w:rFonts w:hint="eastAsia" w:ascii="仿宋_GB2312" w:eastAsia="仿宋_GB2312"/>
          <w:sz w:val="32"/>
          <w:szCs w:val="32"/>
        </w:rPr>
        <w:t>是当下企业</w:t>
      </w:r>
      <w:r>
        <w:rPr>
          <w:rFonts w:hint="eastAsia" w:ascii="仿宋_GB2312" w:eastAsia="仿宋_GB2312"/>
          <w:sz w:val="32"/>
          <w:szCs w:val="32"/>
          <w:lang w:val="en-US" w:eastAsia="zh-CN"/>
        </w:rPr>
        <w:t>最</w:t>
      </w:r>
      <w:r>
        <w:rPr>
          <w:rFonts w:hint="eastAsia" w:ascii="仿宋_GB2312" w:eastAsia="仿宋_GB2312"/>
          <w:sz w:val="32"/>
          <w:szCs w:val="32"/>
        </w:rPr>
        <w:t>关心的问题。</w:t>
      </w:r>
    </w:p>
    <w:p>
      <w:pPr>
        <w:ind w:firstLine="640" w:firstLineChars="200"/>
        <w:rPr>
          <w:rFonts w:ascii="仿宋_GB2312" w:eastAsia="仿宋_GB2312"/>
          <w:sz w:val="32"/>
          <w:szCs w:val="32"/>
        </w:rPr>
      </w:pPr>
      <w:r>
        <w:rPr>
          <w:rFonts w:hint="eastAsia" w:ascii="仿宋_GB2312" w:eastAsia="仿宋_GB2312"/>
          <w:sz w:val="32"/>
          <w:szCs w:val="32"/>
          <w:lang w:val="en-US" w:eastAsia="zh-CN"/>
        </w:rPr>
        <w:t>为帮助企业盘活数据资源价值并开展投融资业务，塑造企业的数字竞争优势，促进我国数字经济发展，</w:t>
      </w:r>
      <w:r>
        <w:rPr>
          <w:rFonts w:hint="eastAsia" w:ascii="仿宋_GB2312" w:eastAsia="仿宋_GB2312"/>
          <w:sz w:val="32"/>
          <w:szCs w:val="32"/>
        </w:rPr>
        <w:t>北京国家会计学院</w:t>
      </w:r>
      <w:r>
        <w:rPr>
          <w:rFonts w:hint="eastAsia" w:ascii="仿宋_GB2312" w:eastAsia="仿宋_GB2312"/>
          <w:sz w:val="32"/>
          <w:szCs w:val="32"/>
          <w:lang w:val="en-US" w:eastAsia="zh-CN"/>
        </w:rPr>
        <w:t>依托</w:t>
      </w:r>
      <w:r>
        <w:rPr>
          <w:rFonts w:hint="eastAsia" w:ascii="仿宋_GB2312" w:eastAsia="仿宋_GB2312"/>
          <w:sz w:val="32"/>
          <w:szCs w:val="32"/>
        </w:rPr>
        <w:t>多年</w:t>
      </w:r>
      <w:r>
        <w:rPr>
          <w:rFonts w:hint="eastAsia" w:ascii="仿宋_GB2312" w:eastAsia="仿宋_GB2312"/>
          <w:sz w:val="32"/>
          <w:szCs w:val="32"/>
          <w:lang w:val="en-US" w:eastAsia="zh-CN"/>
        </w:rPr>
        <w:t>来在财务</w:t>
      </w:r>
      <w:r>
        <w:rPr>
          <w:rFonts w:hint="eastAsia" w:ascii="仿宋_GB2312" w:eastAsia="仿宋_GB2312"/>
          <w:sz w:val="32"/>
          <w:szCs w:val="32"/>
        </w:rPr>
        <w:t>数字化转型研究及培训的基础上，重磅推出“企业</w:t>
      </w:r>
      <w:r>
        <w:rPr>
          <w:rFonts w:hint="eastAsia" w:ascii="仿宋_GB2312" w:eastAsia="仿宋_GB2312"/>
          <w:sz w:val="32"/>
          <w:szCs w:val="32"/>
          <w:lang w:val="en-US" w:eastAsia="zh-CN"/>
        </w:rPr>
        <w:t>数据资源</w:t>
      </w:r>
      <w:r>
        <w:rPr>
          <w:rFonts w:hint="eastAsia" w:ascii="仿宋_GB2312" w:eastAsia="仿宋_GB2312"/>
          <w:sz w:val="32"/>
          <w:szCs w:val="32"/>
        </w:rPr>
        <w:t>管理与价值创造”高级研修班，将</w:t>
      </w:r>
      <w:r>
        <w:rPr>
          <w:rFonts w:hint="eastAsia" w:ascii="仿宋_GB2312" w:eastAsia="仿宋_GB2312"/>
          <w:sz w:val="32"/>
          <w:szCs w:val="32"/>
          <w:lang w:val="en-US" w:eastAsia="zh-CN"/>
        </w:rPr>
        <w:t>围绕数据资源合规与确权、价值评估、资产管理、会计处理、价值实现等</w:t>
      </w:r>
      <w:r>
        <w:rPr>
          <w:rFonts w:hint="eastAsia" w:ascii="仿宋_GB2312" w:eastAsia="仿宋_GB2312"/>
          <w:sz w:val="32"/>
          <w:szCs w:val="32"/>
        </w:rPr>
        <w:t>多个维度邀请相关领域权威师资联袂授课，</w:t>
      </w:r>
      <w:r>
        <w:rPr>
          <w:rFonts w:hint="eastAsia" w:ascii="仿宋_GB2312" w:eastAsia="仿宋_GB2312"/>
          <w:sz w:val="32"/>
          <w:szCs w:val="32"/>
          <w:lang w:val="en-US" w:eastAsia="zh-CN"/>
        </w:rPr>
        <w:t>采取专题分享与案例教学相结合的方式，深入剖析数据资产入表的疑难问题以及解决方案，助力企业提升数据资产化水平，赋能企业数字化转型升级</w:t>
      </w:r>
      <w:r>
        <w:rPr>
          <w:rFonts w:hint="eastAsia" w:ascii="仿宋_GB2312" w:eastAsia="仿宋_GB2312"/>
          <w:sz w:val="32"/>
          <w:szCs w:val="32"/>
        </w:rPr>
        <w:t>。</w:t>
      </w:r>
    </w:p>
    <w:p>
      <w:pPr>
        <w:rPr>
          <w:rFonts w:ascii="仿宋_GB2312" w:eastAsia="仿宋_GB2312"/>
          <w:b/>
          <w:bCs/>
          <w:sz w:val="32"/>
          <w:szCs w:val="32"/>
        </w:rPr>
      </w:pPr>
      <w:r>
        <w:rPr>
          <w:rFonts w:hint="eastAsia" w:ascii="仿宋_GB2312" w:eastAsia="仿宋_GB2312"/>
          <w:b/>
          <w:bCs/>
          <w:sz w:val="32"/>
          <w:szCs w:val="32"/>
        </w:rPr>
        <w:t>二、培训对象</w:t>
      </w:r>
    </w:p>
    <w:p>
      <w:pPr>
        <w:ind w:firstLine="640" w:firstLineChars="200"/>
        <w:rPr>
          <w:rFonts w:ascii="仿宋_GB2312" w:eastAsia="仿宋_GB2312"/>
          <w:sz w:val="32"/>
          <w:szCs w:val="32"/>
        </w:rPr>
      </w:pPr>
      <w:r>
        <w:rPr>
          <w:rFonts w:hint="eastAsia" w:ascii="仿宋_GB2312" w:eastAsia="仿宋_GB2312"/>
          <w:sz w:val="32"/>
          <w:szCs w:val="32"/>
        </w:rPr>
        <w:t>1.中央企业及所属企业、地方国有企业</w:t>
      </w:r>
      <w:r>
        <w:rPr>
          <w:rFonts w:hint="eastAsia" w:ascii="仿宋_GB2312" w:eastAsia="仿宋_GB2312"/>
          <w:sz w:val="32"/>
          <w:szCs w:val="32"/>
          <w:lang w:val="en-US" w:eastAsia="zh-CN"/>
        </w:rPr>
        <w:t>的中高级管理人员</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2.全国各省市公共数据运营体系（大数据集团）、交易平台体系（交易所）中高级管理人员；</w:t>
      </w:r>
    </w:p>
    <w:p>
      <w:pPr>
        <w:ind w:firstLine="640" w:firstLineChars="200"/>
        <w:rPr>
          <w:rFonts w:ascii="仿宋_GB2312" w:eastAsia="仿宋_GB2312"/>
          <w:sz w:val="32"/>
          <w:szCs w:val="32"/>
        </w:rPr>
      </w:pPr>
      <w:r>
        <w:rPr>
          <w:rFonts w:hint="eastAsia" w:ascii="仿宋_GB2312" w:eastAsia="仿宋_GB2312"/>
          <w:sz w:val="32"/>
          <w:szCs w:val="32"/>
        </w:rPr>
        <w:t>3.全国各行业特别是智能制造、商贸流通、交通物流、金融服务、医疗健康等重点领域的领军企业、上市公司高管及财务</w:t>
      </w:r>
      <w:r>
        <w:rPr>
          <w:rFonts w:hint="eastAsia" w:ascii="仿宋_GB2312" w:eastAsia="仿宋_GB2312"/>
          <w:sz w:val="32"/>
          <w:szCs w:val="32"/>
          <w:lang w:eastAsia="zh-CN"/>
        </w:rPr>
        <w:t>、</w:t>
      </w:r>
      <w:r>
        <w:rPr>
          <w:rFonts w:hint="eastAsia" w:ascii="仿宋_GB2312" w:eastAsia="仿宋_GB2312"/>
          <w:sz w:val="32"/>
          <w:szCs w:val="32"/>
          <w:lang w:val="en-US" w:eastAsia="zh-CN"/>
        </w:rPr>
        <w:t>信息等部门</w:t>
      </w:r>
      <w:r>
        <w:rPr>
          <w:rFonts w:hint="eastAsia" w:ascii="仿宋_GB2312" w:eastAsia="仿宋_GB2312"/>
          <w:sz w:val="32"/>
          <w:szCs w:val="32"/>
        </w:rPr>
        <w:t>负责人；</w:t>
      </w:r>
    </w:p>
    <w:p>
      <w:pPr>
        <w:ind w:firstLine="640" w:firstLineChars="200"/>
        <w:rPr>
          <w:rFonts w:ascii="仿宋_GB2312" w:eastAsia="仿宋_GB2312"/>
          <w:sz w:val="32"/>
          <w:szCs w:val="32"/>
        </w:rPr>
      </w:pPr>
      <w:r>
        <w:rPr>
          <w:rFonts w:hint="eastAsia" w:ascii="仿宋_GB2312" w:eastAsia="仿宋_GB2312"/>
          <w:sz w:val="32"/>
          <w:szCs w:val="32"/>
        </w:rPr>
        <w:t>4.会计师事务所、</w:t>
      </w:r>
      <w:r>
        <w:rPr>
          <w:rFonts w:hint="eastAsia" w:ascii="仿宋_GB2312" w:eastAsia="仿宋_GB2312"/>
          <w:sz w:val="32"/>
          <w:szCs w:val="32"/>
          <w:lang w:val="en-US" w:eastAsia="zh-CN"/>
        </w:rPr>
        <w:t>资产评估公司、</w:t>
      </w:r>
      <w:r>
        <w:rPr>
          <w:rFonts w:hint="eastAsia" w:ascii="仿宋_GB2312" w:eastAsia="仿宋_GB2312"/>
          <w:sz w:val="32"/>
          <w:szCs w:val="32"/>
        </w:rPr>
        <w:t>律师事务所、管理咨询公司等中介机构专业人员；</w:t>
      </w:r>
    </w:p>
    <w:p>
      <w:pPr>
        <w:ind w:firstLine="640" w:firstLineChars="200"/>
        <w:rPr>
          <w:rFonts w:ascii="仿宋_GB2312" w:eastAsia="仿宋_GB2312"/>
          <w:sz w:val="32"/>
          <w:szCs w:val="32"/>
        </w:rPr>
      </w:pPr>
      <w:r>
        <w:rPr>
          <w:rFonts w:hint="eastAsia" w:ascii="仿宋_GB2312" w:eastAsia="仿宋_GB2312"/>
          <w:sz w:val="32"/>
          <w:szCs w:val="32"/>
        </w:rPr>
        <w:t>5.金融行业客户经理及信贷业务相关人员。</w:t>
      </w:r>
    </w:p>
    <w:p>
      <w:pPr>
        <w:rPr>
          <w:rFonts w:ascii="仿宋_GB2312" w:eastAsia="仿宋_GB2312"/>
          <w:b/>
          <w:bCs/>
          <w:sz w:val="32"/>
          <w:szCs w:val="32"/>
        </w:rPr>
      </w:pPr>
      <w:r>
        <w:rPr>
          <w:rFonts w:hint="eastAsia" w:ascii="仿宋_GB2312" w:eastAsia="仿宋_GB2312"/>
          <w:b/>
          <w:bCs/>
          <w:sz w:val="32"/>
          <w:szCs w:val="32"/>
        </w:rPr>
        <w:t>三、课程内容</w:t>
      </w:r>
    </w:p>
    <w:p>
      <w:pPr>
        <w:rPr>
          <w:rFonts w:hint="eastAsia" w:ascii="仿宋_GB2312" w:eastAsia="仿宋_GB2312"/>
          <w:sz w:val="32"/>
          <w:szCs w:val="32"/>
          <w:lang w:val="en-US" w:eastAsia="zh-CN"/>
        </w:rPr>
      </w:pPr>
      <w:r>
        <w:rPr>
          <w:rFonts w:hint="eastAsia" w:ascii="仿宋_GB2312" w:eastAsia="仿宋_GB2312"/>
          <w:sz w:val="32"/>
          <w:szCs w:val="32"/>
        </w:rPr>
        <w:t>（一）政策法规解读</w:t>
      </w:r>
    </w:p>
    <w:p>
      <w:pPr>
        <w:ind w:firstLine="640" w:firstLineChars="200"/>
        <w:rPr>
          <w:rFonts w:hint="default" w:ascii="仿宋" w:hAnsi="仿宋" w:eastAsia="仿宋"/>
          <w:sz w:val="32"/>
          <w:szCs w:val="32"/>
          <w:lang w:val="en-US"/>
        </w:rPr>
      </w:pPr>
      <w:r>
        <w:rPr>
          <w:rFonts w:hint="eastAsia" w:ascii="仿宋_GB2312" w:eastAsia="仿宋_GB2312"/>
          <w:sz w:val="32"/>
          <w:szCs w:val="32"/>
          <w:lang w:val="en-US" w:eastAsia="zh-CN"/>
        </w:rPr>
        <w:t>1.“</w:t>
      </w:r>
      <w:r>
        <w:rPr>
          <w:rFonts w:hint="eastAsia" w:ascii="仿宋_GB2312" w:eastAsia="仿宋_GB2312"/>
          <w:sz w:val="32"/>
          <w:szCs w:val="32"/>
        </w:rPr>
        <w:t>数据二十条</w:t>
      </w:r>
      <w:r>
        <w:rPr>
          <w:rFonts w:hint="eastAsia" w:ascii="仿宋_GB2312" w:eastAsia="仿宋_GB2312"/>
          <w:sz w:val="32"/>
          <w:szCs w:val="32"/>
          <w:lang w:eastAsia="zh-CN"/>
        </w:rPr>
        <w:t>”的重点工作，《“数据要素</w:t>
      </w:r>
      <w:r>
        <w:rPr>
          <w:rFonts w:hint="eastAsia" w:ascii="仿宋_GB2312" w:eastAsia="仿宋_GB2312"/>
          <w:sz w:val="32"/>
          <w:szCs w:val="32"/>
          <w:lang w:val="en-US" w:eastAsia="zh-CN"/>
        </w:rPr>
        <w:t>X”三年行动计划（2024-2026年）</w:t>
      </w:r>
      <w:r>
        <w:rPr>
          <w:rFonts w:hint="eastAsia" w:ascii="仿宋_GB2312" w:eastAsia="仿宋_GB2312"/>
          <w:sz w:val="32"/>
          <w:szCs w:val="32"/>
          <w:lang w:eastAsia="zh-CN"/>
        </w:rPr>
        <w:t>》</w:t>
      </w:r>
      <w:r>
        <w:rPr>
          <w:rFonts w:hint="eastAsia" w:ascii="仿宋_GB2312" w:eastAsia="仿宋_GB2312"/>
          <w:sz w:val="32"/>
          <w:szCs w:val="32"/>
          <w:lang w:val="en-US" w:eastAsia="zh-CN"/>
        </w:rPr>
        <w:t>解读</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2.</w:t>
      </w:r>
      <w:r>
        <w:rPr>
          <w:rFonts w:hint="eastAsia" w:ascii="仿宋" w:hAnsi="仿宋" w:eastAsia="仿宋"/>
          <w:sz w:val="32"/>
          <w:szCs w:val="32"/>
        </w:rPr>
        <w:t>《网络安全法》、《数据安全法》、《个人信息保护法》、《关键信息基础设施安全保护条例》等</w:t>
      </w:r>
      <w:r>
        <w:rPr>
          <w:rFonts w:hint="eastAsia" w:ascii="仿宋" w:hAnsi="仿宋" w:eastAsia="仿宋"/>
          <w:sz w:val="32"/>
          <w:szCs w:val="32"/>
          <w:lang w:val="en-US" w:eastAsia="zh-CN"/>
        </w:rPr>
        <w:t>解读</w:t>
      </w:r>
    </w:p>
    <w:p>
      <w:pPr>
        <w:rPr>
          <w:rFonts w:hint="eastAsia" w:ascii="仿宋_GB2312" w:eastAsia="仿宋_GB2312"/>
          <w:sz w:val="32"/>
          <w:szCs w:val="32"/>
          <w:lang w:val="en-US" w:eastAsia="zh-CN"/>
        </w:rPr>
      </w:pPr>
      <w:r>
        <w:rPr>
          <w:rFonts w:hint="eastAsia" w:ascii="仿宋_GB2312" w:eastAsia="仿宋_GB2312"/>
          <w:sz w:val="32"/>
          <w:szCs w:val="32"/>
        </w:rPr>
        <w:t>（二）</w:t>
      </w:r>
      <w:r>
        <w:rPr>
          <w:rFonts w:hint="eastAsia" w:ascii="仿宋_GB2312" w:eastAsia="仿宋_GB2312"/>
          <w:sz w:val="32"/>
          <w:szCs w:val="32"/>
          <w:lang w:val="en-US" w:eastAsia="zh-CN"/>
        </w:rPr>
        <w:t>数据资源范围认定及盘点与梳理</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1.构建数据标准</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2.数据发现</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3.数据定义</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4.分类分级</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5.明确归属</w:t>
      </w:r>
    </w:p>
    <w:p>
      <w:pPr>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6.数据资产目录</w:t>
      </w:r>
    </w:p>
    <w:p>
      <w:pPr>
        <w:rPr>
          <w:rFonts w:hint="eastAsia" w:ascii="仿宋_GB2312" w:eastAsia="仿宋_GB2312"/>
          <w:sz w:val="32"/>
          <w:szCs w:val="32"/>
          <w:lang w:eastAsia="zh-CN"/>
        </w:rPr>
      </w:pPr>
      <w:r>
        <w:rPr>
          <w:rFonts w:hint="eastAsia" w:ascii="仿宋_GB2312" w:eastAsia="仿宋_GB2312"/>
          <w:sz w:val="32"/>
          <w:szCs w:val="32"/>
          <w:lang w:val="en-US" w:eastAsia="zh-CN"/>
        </w:rPr>
        <w:t>（三）</w:t>
      </w:r>
      <w:r>
        <w:rPr>
          <w:rFonts w:hint="eastAsia" w:ascii="仿宋_GB2312" w:eastAsia="仿宋_GB2312"/>
          <w:sz w:val="32"/>
          <w:szCs w:val="32"/>
        </w:rPr>
        <w:t>数据资产</w:t>
      </w:r>
      <w:r>
        <w:rPr>
          <w:rFonts w:hint="eastAsia" w:ascii="仿宋_GB2312" w:eastAsia="仿宋_GB2312"/>
          <w:sz w:val="32"/>
          <w:szCs w:val="32"/>
          <w:lang w:eastAsia="zh-CN"/>
        </w:rPr>
        <w:t>入表和评估评价</w:t>
      </w:r>
    </w:p>
    <w:p>
      <w:pPr>
        <w:ind w:firstLine="640" w:firstLineChars="200"/>
        <w:rPr>
          <w:rFonts w:hint="default" w:ascii="仿宋_GB2312" w:eastAsia="仿宋_GB2312"/>
          <w:sz w:val="32"/>
          <w:szCs w:val="32"/>
          <w:lang w:val="en-US" w:eastAsia="zh-CN"/>
        </w:rPr>
      </w:pPr>
      <w:r>
        <w:rPr>
          <w:rFonts w:hint="eastAsia" w:ascii="仿宋_GB2312" w:eastAsia="仿宋_GB2312"/>
          <w:sz w:val="32"/>
          <w:szCs w:val="32"/>
        </w:rPr>
        <w:t>1</w:t>
      </w:r>
      <w:r>
        <w:rPr>
          <w:rFonts w:hint="eastAsia" w:ascii="仿宋_GB2312" w:eastAsia="仿宋_GB2312"/>
          <w:sz w:val="32"/>
          <w:szCs w:val="32"/>
          <w:lang w:eastAsia="zh-CN"/>
        </w:rPr>
        <w:t>.</w:t>
      </w:r>
      <w:r>
        <w:rPr>
          <w:rFonts w:hint="eastAsia" w:ascii="仿宋_GB2312" w:eastAsia="仿宋_GB2312"/>
          <w:sz w:val="32"/>
          <w:szCs w:val="32"/>
        </w:rPr>
        <w:t>数据资产</w:t>
      </w:r>
      <w:r>
        <w:rPr>
          <w:rFonts w:hint="eastAsia" w:ascii="仿宋_GB2312" w:eastAsia="仿宋_GB2312"/>
          <w:sz w:val="32"/>
          <w:szCs w:val="32"/>
          <w:lang w:val="en-US" w:eastAsia="zh-CN"/>
        </w:rPr>
        <w:t>的确认与计量及披露</w:t>
      </w:r>
    </w:p>
    <w:p>
      <w:pPr>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2.数据资产入表面临的问题与处理办法</w:t>
      </w:r>
    </w:p>
    <w:p>
      <w:pPr>
        <w:ind w:left="638" w:leftChars="304" w:firstLine="0" w:firstLineChars="0"/>
        <w:rPr>
          <w:rFonts w:hint="eastAsia" w:ascii="仿宋_GB2312" w:eastAsia="仿宋_GB2312"/>
          <w:sz w:val="32"/>
          <w:szCs w:val="32"/>
          <w:lang w:eastAsia="zh-CN"/>
        </w:rPr>
      </w:pPr>
      <w:r>
        <w:rPr>
          <w:rFonts w:hint="eastAsia" w:ascii="仿宋_GB2312" w:eastAsia="仿宋_GB2312"/>
          <w:sz w:val="32"/>
          <w:szCs w:val="32"/>
          <w:lang w:val="en-US" w:eastAsia="zh-CN"/>
        </w:rPr>
        <w:t>3.</w:t>
      </w:r>
      <w:r>
        <w:rPr>
          <w:rFonts w:hint="eastAsia" w:ascii="仿宋_GB2312" w:eastAsia="仿宋_GB2312"/>
          <w:sz w:val="32"/>
          <w:szCs w:val="32"/>
        </w:rPr>
        <w:t>数据价格监测、价格形成和价值评估</w:t>
      </w:r>
    </w:p>
    <w:p>
      <w:pPr>
        <w:ind w:left="638" w:leftChars="304" w:firstLine="0" w:firstLineChars="0"/>
        <w:rPr>
          <w:rFonts w:hint="eastAsia" w:ascii="仿宋_GB2312" w:eastAsia="仿宋_GB2312"/>
          <w:sz w:val="32"/>
          <w:szCs w:val="32"/>
          <w:lang w:eastAsia="zh-CN"/>
        </w:rPr>
      </w:pPr>
      <w:r>
        <w:rPr>
          <w:rFonts w:hint="eastAsia" w:ascii="仿宋_GB2312" w:eastAsia="仿宋_GB2312"/>
          <w:sz w:val="32"/>
          <w:szCs w:val="32"/>
          <w:lang w:val="en-US" w:eastAsia="zh-CN"/>
        </w:rPr>
        <w:t>4.</w:t>
      </w:r>
      <w:r>
        <w:rPr>
          <w:rFonts w:hint="eastAsia" w:ascii="仿宋_GB2312" w:eastAsia="仿宋_GB2312"/>
          <w:sz w:val="32"/>
          <w:szCs w:val="32"/>
          <w:lang w:eastAsia="zh-CN"/>
        </w:rPr>
        <w:t>数据资产评估方法、流程及价值评估案例分析（包括成本法、收益法、市场法等）</w:t>
      </w:r>
    </w:p>
    <w:p>
      <w:pPr>
        <w:ind w:left="638" w:leftChars="304" w:firstLine="0" w:firstLineChars="0"/>
        <w:rPr>
          <w:rFonts w:hint="eastAsia" w:ascii="仿宋_GB2312" w:eastAsia="仿宋_GB2312"/>
          <w:sz w:val="32"/>
          <w:szCs w:val="32"/>
          <w:lang w:val="en-US" w:eastAsia="zh-CN"/>
        </w:rPr>
      </w:pPr>
      <w:r>
        <w:rPr>
          <w:rFonts w:hint="eastAsia" w:ascii="仿宋_GB2312" w:eastAsia="仿宋_GB2312"/>
          <w:sz w:val="32"/>
          <w:szCs w:val="32"/>
          <w:lang w:val="en-US" w:eastAsia="zh-CN"/>
        </w:rPr>
        <w:t>5.数据评价体系、方法及流程（包括质量评价、成本评价、应用评价等）</w:t>
      </w:r>
    </w:p>
    <w:p>
      <w:pPr>
        <w:ind w:left="638" w:leftChars="304" w:firstLine="0" w:firstLineChars="0"/>
        <w:rPr>
          <w:rFonts w:hint="default" w:ascii="仿宋_GB2312" w:eastAsia="仿宋_GB2312"/>
          <w:sz w:val="32"/>
          <w:szCs w:val="32"/>
          <w:lang w:val="en-US" w:eastAsia="zh-CN"/>
        </w:rPr>
      </w:pPr>
      <w:r>
        <w:rPr>
          <w:rFonts w:hint="eastAsia" w:ascii="仿宋_GB2312" w:eastAsia="仿宋_GB2312"/>
          <w:sz w:val="32"/>
          <w:szCs w:val="32"/>
          <w:lang w:val="en-US" w:eastAsia="zh-CN"/>
        </w:rPr>
        <w:t>6.案例分享</w:t>
      </w:r>
    </w:p>
    <w:p>
      <w:pPr>
        <w:rPr>
          <w:rFonts w:hint="default" w:ascii="仿宋_GB2312" w:eastAsia="仿宋_GB2312"/>
          <w:sz w:val="32"/>
          <w:szCs w:val="32"/>
          <w:lang w:val="en-US" w:eastAsia="zh-CN"/>
        </w:rPr>
      </w:pPr>
      <w:r>
        <w:rPr>
          <w:rFonts w:hint="eastAsia" w:ascii="仿宋_GB2312" w:eastAsia="仿宋_GB2312"/>
          <w:sz w:val="32"/>
          <w:szCs w:val="32"/>
        </w:rPr>
        <w:t>（四）数据要素资产化</w:t>
      </w:r>
      <w:r>
        <w:rPr>
          <w:rFonts w:hint="eastAsia" w:ascii="仿宋_GB2312" w:eastAsia="仿宋_GB2312"/>
          <w:sz w:val="32"/>
          <w:szCs w:val="32"/>
          <w:lang w:val="en-US" w:eastAsia="zh-CN"/>
        </w:rPr>
        <w:t>与数据价值发现</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rPr>
        <w:t>1</w:t>
      </w:r>
      <w:r>
        <w:rPr>
          <w:rFonts w:hint="eastAsia" w:ascii="仿宋_GB2312" w:eastAsia="仿宋_GB2312"/>
          <w:sz w:val="32"/>
          <w:szCs w:val="32"/>
          <w:lang w:eastAsia="zh-CN"/>
        </w:rPr>
        <w:t>.</w:t>
      </w:r>
      <w:r>
        <w:rPr>
          <w:rFonts w:hint="eastAsia" w:ascii="仿宋_GB2312" w:eastAsia="仿宋_GB2312"/>
          <w:sz w:val="32"/>
          <w:szCs w:val="32"/>
          <w:lang w:val="en-US" w:eastAsia="zh-CN"/>
        </w:rPr>
        <w:t>商业模式创新与可持续发展的价值创造</w:t>
      </w:r>
    </w:p>
    <w:p>
      <w:pPr>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2.新技术与数据资产发掘应用</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3.</w:t>
      </w:r>
      <w:r>
        <w:rPr>
          <w:rFonts w:hint="eastAsia" w:ascii="仿宋_GB2312" w:eastAsia="仿宋_GB2312"/>
          <w:sz w:val="32"/>
          <w:szCs w:val="32"/>
          <w:lang w:eastAsia="zh-CN"/>
        </w:rPr>
        <w:t>数据资产化路径及数据产权登记方法、识别确定等</w:t>
      </w:r>
    </w:p>
    <w:p>
      <w:pPr>
        <w:ind w:firstLine="640" w:firstLineChars="200"/>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公共数据资产化案例解析</w:t>
      </w:r>
    </w:p>
    <w:p>
      <w:pPr>
        <w:ind w:firstLine="640" w:firstLineChars="200"/>
        <w:rPr>
          <w:rFonts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企业数据资产化案例解析</w:t>
      </w:r>
    </w:p>
    <w:p>
      <w:pPr>
        <w:ind w:firstLine="640" w:firstLineChars="200"/>
        <w:rPr>
          <w:rFonts w:hint="default" w:ascii="仿宋_GB2312" w:eastAsia="仿宋_GB2312"/>
          <w:sz w:val="32"/>
          <w:szCs w:val="32"/>
          <w:lang w:val="en-US"/>
        </w:rPr>
      </w:pPr>
      <w:r>
        <w:rPr>
          <w:rFonts w:hint="eastAsia" w:ascii="仿宋_GB2312" w:eastAsia="仿宋_GB2312"/>
          <w:sz w:val="32"/>
          <w:szCs w:val="32"/>
          <w:lang w:val="en-US" w:eastAsia="zh-CN"/>
        </w:rPr>
        <w:t>6.数智技术构建数据资产价值管理体系</w:t>
      </w:r>
    </w:p>
    <w:p>
      <w:pPr>
        <w:rPr>
          <w:rFonts w:hint="default" w:ascii="仿宋_GB2312" w:eastAsia="仿宋_GB2312"/>
          <w:sz w:val="32"/>
          <w:szCs w:val="32"/>
          <w:lang w:val="en-US" w:eastAsia="zh-CN"/>
        </w:rPr>
      </w:pPr>
      <w:r>
        <w:rPr>
          <w:rFonts w:hint="eastAsia" w:ascii="仿宋_GB2312" w:eastAsia="仿宋_GB2312"/>
          <w:sz w:val="32"/>
          <w:szCs w:val="32"/>
        </w:rPr>
        <w:t>（</w:t>
      </w:r>
      <w:r>
        <w:rPr>
          <w:rFonts w:hint="eastAsia" w:ascii="仿宋_GB2312" w:eastAsia="仿宋_GB2312"/>
          <w:sz w:val="32"/>
          <w:szCs w:val="32"/>
          <w:lang w:eastAsia="zh-CN"/>
        </w:rPr>
        <w:t>五</w:t>
      </w:r>
      <w:r>
        <w:rPr>
          <w:rFonts w:hint="eastAsia" w:ascii="仿宋_GB2312" w:eastAsia="仿宋_GB2312"/>
          <w:sz w:val="32"/>
          <w:szCs w:val="32"/>
        </w:rPr>
        <w:t>）</w:t>
      </w:r>
      <w:r>
        <w:rPr>
          <w:rFonts w:hint="eastAsia" w:ascii="仿宋_GB2312" w:eastAsia="仿宋_GB2312"/>
          <w:sz w:val="32"/>
          <w:szCs w:val="32"/>
          <w:lang w:val="en-US" w:eastAsia="zh-CN"/>
        </w:rPr>
        <w:t>业财融合与企业数智化转型</w:t>
      </w:r>
    </w:p>
    <w:p>
      <w:pPr>
        <w:ind w:firstLine="640"/>
        <w:rPr>
          <w:rFonts w:hint="default" w:ascii="仿宋_GB2312" w:eastAsia="仿宋_GB2312"/>
          <w:sz w:val="32"/>
          <w:szCs w:val="32"/>
          <w:lang w:val="en-US" w:eastAsia="zh-CN"/>
        </w:rPr>
      </w:pPr>
      <w:r>
        <w:rPr>
          <w:rFonts w:hint="eastAsia" w:ascii="仿宋_GB2312" w:eastAsia="仿宋_GB2312"/>
          <w:sz w:val="32"/>
          <w:szCs w:val="32"/>
          <w:lang w:val="en-US" w:eastAsia="zh-CN"/>
        </w:rPr>
        <w:t>1.企业数智化转型与数据思维</w:t>
      </w:r>
    </w:p>
    <w:p>
      <w:pPr>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2.业财一体化逻辑与技术</w:t>
      </w:r>
    </w:p>
    <w:p>
      <w:pPr>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3.数据挖掘技术及应用</w:t>
      </w:r>
    </w:p>
    <w:p>
      <w:pPr>
        <w:ind w:firstLine="640"/>
        <w:rPr>
          <w:rFonts w:hint="default" w:ascii="仿宋_GB2312" w:eastAsia="仿宋_GB2312"/>
          <w:sz w:val="32"/>
          <w:szCs w:val="32"/>
          <w:lang w:val="en-US" w:eastAsia="zh-CN"/>
        </w:rPr>
      </w:pPr>
      <w:r>
        <w:rPr>
          <w:rFonts w:hint="eastAsia" w:ascii="仿宋_GB2312" w:eastAsia="仿宋_GB2312"/>
          <w:sz w:val="32"/>
          <w:szCs w:val="32"/>
          <w:lang w:val="en-US" w:eastAsia="zh-CN"/>
        </w:rPr>
        <w:t>4.新技术推动下的智能共享模式的应用</w:t>
      </w:r>
    </w:p>
    <w:p>
      <w:pPr>
        <w:rPr>
          <w:rFonts w:hint="default" w:ascii="仿宋_GB2312" w:eastAsia="仿宋_GB2312"/>
          <w:sz w:val="32"/>
          <w:szCs w:val="32"/>
          <w:lang w:val="en-US" w:eastAsia="zh-CN"/>
        </w:rPr>
      </w:pPr>
      <w:r>
        <w:rPr>
          <w:rFonts w:hint="eastAsia" w:ascii="仿宋_GB2312" w:eastAsia="仿宋_GB2312"/>
          <w:sz w:val="32"/>
          <w:szCs w:val="32"/>
        </w:rPr>
        <w:t>（</w:t>
      </w:r>
      <w:r>
        <w:rPr>
          <w:rFonts w:hint="eastAsia" w:ascii="仿宋_GB2312" w:eastAsia="仿宋_GB2312"/>
          <w:sz w:val="32"/>
          <w:szCs w:val="32"/>
          <w:lang w:val="en-US" w:eastAsia="zh-CN"/>
        </w:rPr>
        <w:t>六</w:t>
      </w:r>
      <w:r>
        <w:rPr>
          <w:rFonts w:hint="eastAsia" w:ascii="仿宋_GB2312" w:eastAsia="仿宋_GB2312"/>
          <w:sz w:val="32"/>
          <w:szCs w:val="32"/>
        </w:rPr>
        <w:t>）</w:t>
      </w:r>
      <w:r>
        <w:rPr>
          <w:rFonts w:hint="eastAsia" w:ascii="仿宋_GB2312" w:eastAsia="仿宋_GB2312"/>
          <w:sz w:val="32"/>
          <w:szCs w:val="32"/>
          <w:lang w:val="en-US" w:eastAsia="zh-CN"/>
        </w:rPr>
        <w:t>实践教学/结构化研讨/学术沙龙</w:t>
      </w:r>
    </w:p>
    <w:p>
      <w:pPr>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主题：激活数据资产 释放要素价值</w:t>
      </w:r>
    </w:p>
    <w:p>
      <w:pPr>
        <w:spacing w:line="360" w:lineRule="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w:t>
      </w:r>
      <w:r>
        <w:rPr>
          <w:rFonts w:hint="eastAsia" w:ascii="华文仿宋" w:hAnsi="华文仿宋" w:eastAsia="华文仿宋" w:cs="华文仿宋"/>
          <w:b/>
          <w:bCs/>
          <w:spacing w:val="5"/>
          <w:kern w:val="0"/>
          <w:sz w:val="32"/>
          <w:szCs w:val="32"/>
        </w:rPr>
        <w:t>培训师资</w:t>
      </w:r>
    </w:p>
    <w:p>
      <w:pPr>
        <w:pStyle w:val="7"/>
        <w:widowControl/>
        <w:spacing w:line="360" w:lineRule="atLeas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所有师资均由北京国家会计学院的专门</w:t>
      </w:r>
      <w:r>
        <w:rPr>
          <w:rFonts w:ascii="仿宋_GB2312" w:hAnsi="仿宋_GB2312" w:eastAsia="仿宋_GB2312" w:cs="仿宋_GB2312"/>
          <w:kern w:val="2"/>
          <w:sz w:val="32"/>
          <w:szCs w:val="32"/>
        </w:rPr>
        <w:t>师资团队</w:t>
      </w:r>
      <w:r>
        <w:rPr>
          <w:rFonts w:hint="eastAsia" w:ascii="仿宋_GB2312" w:hAnsi="仿宋_GB2312" w:eastAsia="仿宋_GB2312" w:cs="仿宋_GB2312"/>
          <w:kern w:val="2"/>
          <w:sz w:val="32"/>
          <w:szCs w:val="32"/>
        </w:rPr>
        <w:t>、政府部门的政策制定者、高校科研院所的知名教授以及实务界的资深专家组成，皆具有深厚理论功底及丰富实践经验。具体师资以实际课表为准。</w:t>
      </w:r>
    </w:p>
    <w:p>
      <w:pPr>
        <w:numPr>
          <w:ilvl w:val="0"/>
          <w:numId w:val="1"/>
        </w:numPr>
        <w:spacing w:line="360" w:lineRule="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授课方式</w:t>
      </w:r>
    </w:p>
    <w:p>
      <w:pPr>
        <w:numPr>
          <w:numId w:val="0"/>
        </w:numPr>
        <w:spacing w:line="360" w:lineRule="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lang w:val="en-US" w:eastAsia="zh-CN"/>
        </w:rPr>
        <w:t>（一）</w:t>
      </w:r>
      <w:r>
        <w:rPr>
          <w:rFonts w:hint="eastAsia" w:ascii="仿宋_GB2312" w:hAnsi="仿宋_GB2312" w:eastAsia="仿宋_GB2312" w:cs="仿宋_GB2312"/>
          <w:color w:val="auto"/>
          <w:kern w:val="2"/>
          <w:sz w:val="32"/>
          <w:szCs w:val="32"/>
        </w:rPr>
        <w:t>课堂学习与结构化研讨相结合，提高学员分析问题、解决问题的能力，达到聚焦问题、主动思考的目的；</w:t>
      </w:r>
    </w:p>
    <w:p>
      <w:pPr>
        <w:pStyle w:val="18"/>
        <w:numPr>
          <w:ilvl w:val="255"/>
          <w:numId w:val="0"/>
        </w:numPr>
        <w:snapToGrid w:val="0"/>
        <w:spacing w:before="312" w:beforeLines="100" w:after="312" w:afterLines="10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lang w:val="en-US" w:eastAsia="zh-CN"/>
        </w:rPr>
        <w:t>二</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政策理论讲解与案例教学相结合，以例说理，帮助学员应用创新思维解决实践问题；</w:t>
      </w:r>
    </w:p>
    <w:p>
      <w:pPr>
        <w:pStyle w:val="18"/>
        <w:numPr>
          <w:ilvl w:val="255"/>
          <w:numId w:val="0"/>
        </w:numPr>
        <w:snapToGrid w:val="0"/>
        <w:spacing w:before="312" w:beforeLines="100" w:after="312" w:afterLines="10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lang w:val="en-US" w:eastAsia="zh-CN"/>
        </w:rPr>
        <w:t>三</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线上线下相结合，学习之余不定期举办直播课堂</w:t>
      </w:r>
      <w:r>
        <w:rPr>
          <w:rFonts w:ascii="仿宋_GB2312" w:hAnsi="仿宋_GB2312" w:eastAsia="仿宋_GB2312" w:cs="仿宋_GB2312"/>
          <w:color w:val="auto"/>
          <w:kern w:val="2"/>
          <w:sz w:val="32"/>
          <w:szCs w:val="32"/>
        </w:rPr>
        <w:t>，</w:t>
      </w:r>
      <w:r>
        <w:rPr>
          <w:rFonts w:hint="eastAsia" w:ascii="仿宋_GB2312" w:hAnsi="仿宋_GB2312" w:eastAsia="仿宋_GB2312" w:cs="仿宋_GB2312"/>
          <w:color w:val="auto"/>
          <w:kern w:val="2"/>
          <w:sz w:val="32"/>
          <w:szCs w:val="32"/>
        </w:rPr>
        <w:t>引导学习逐步深入，即时更新；</w:t>
      </w:r>
    </w:p>
    <w:p>
      <w:pPr>
        <w:pStyle w:val="18"/>
        <w:numPr>
          <w:ilvl w:val="255"/>
          <w:numId w:val="0"/>
        </w:numPr>
        <w:snapToGrid w:val="0"/>
        <w:spacing w:before="312" w:beforeLines="100" w:after="312" w:afterLines="10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lang w:val="en-US" w:eastAsia="zh-CN"/>
        </w:rPr>
        <w:t>四</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实践访学与论坛沙龙相结合，了解数据资源最新趋势与新型运营模式。</w:t>
      </w:r>
    </w:p>
    <w:p>
      <w:pPr>
        <w:spacing w:line="360" w:lineRule="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六、</w:t>
      </w:r>
      <w:r>
        <w:rPr>
          <w:rFonts w:hint="eastAsia" w:ascii="华文仿宋" w:hAnsi="华文仿宋" w:eastAsia="华文仿宋" w:cs="华文仿宋"/>
          <w:b/>
          <w:bCs/>
          <w:spacing w:val="5"/>
          <w:kern w:val="0"/>
          <w:sz w:val="32"/>
          <w:szCs w:val="32"/>
        </w:rPr>
        <w:t>培训</w:t>
      </w:r>
      <w:r>
        <w:rPr>
          <w:rFonts w:hint="eastAsia" w:ascii="仿宋_GB2312" w:hAnsi="仿宋_GB2312" w:eastAsia="仿宋_GB2312" w:cs="仿宋_GB2312"/>
          <w:b/>
          <w:bCs/>
          <w:sz w:val="32"/>
          <w:szCs w:val="32"/>
        </w:rPr>
        <w:t>时间地点</w:t>
      </w:r>
    </w:p>
    <w:tbl>
      <w:tblPr>
        <w:tblStyle w:val="8"/>
        <w:tblW w:w="0" w:type="auto"/>
        <w:jc w:val="center"/>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autofit"/>
        <w:tblCellMar>
          <w:top w:w="75" w:type="dxa"/>
          <w:left w:w="75" w:type="dxa"/>
          <w:bottom w:w="75" w:type="dxa"/>
          <w:right w:w="75" w:type="dxa"/>
        </w:tblCellMar>
      </w:tblPr>
      <w:tblGrid>
        <w:gridCol w:w="1268"/>
        <w:gridCol w:w="1701"/>
        <w:gridCol w:w="2552"/>
        <w:gridCol w:w="1701"/>
        <w:gridCol w:w="1068"/>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75" w:type="dxa"/>
            <w:left w:w="75" w:type="dxa"/>
            <w:bottom w:w="75" w:type="dxa"/>
            <w:right w:w="75" w:type="dxa"/>
          </w:tblCellMar>
        </w:tblPrEx>
        <w:trPr>
          <w:jc w:val="center"/>
        </w:trPr>
        <w:tc>
          <w:tcPr>
            <w:tcW w:w="1268" w:type="dxa"/>
            <w:tcBorders>
              <w:top w:val="single" w:color="000000" w:sz="6" w:space="0"/>
              <w:left w:val="single" w:color="000000" w:sz="6" w:space="0"/>
              <w:bottom w:val="single" w:color="000000" w:sz="6" w:space="0"/>
              <w:right w:val="single" w:color="000000" w:sz="6" w:space="0"/>
            </w:tcBorders>
          </w:tcPr>
          <w:p>
            <w:pPr>
              <w:spacing w:line="360" w:lineRule="auto"/>
              <w:jc w:val="center"/>
              <w:rPr>
                <w:rFonts w:ascii="仿宋" w:hAnsi="仿宋" w:eastAsia="仿宋" w:cs="仿宋_GB2312"/>
                <w:sz w:val="32"/>
                <w:szCs w:val="32"/>
              </w:rPr>
            </w:pPr>
            <w:r>
              <w:rPr>
                <w:rFonts w:hint="eastAsia" w:ascii="仿宋" w:hAnsi="仿宋" w:eastAsia="仿宋" w:cs="仿宋_GB2312"/>
                <w:sz w:val="32"/>
                <w:szCs w:val="32"/>
              </w:rPr>
              <w:t>期数</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仿宋" w:hAnsi="仿宋" w:eastAsia="仿宋" w:cs="仿宋_GB2312"/>
                <w:sz w:val="32"/>
                <w:szCs w:val="32"/>
              </w:rPr>
            </w:pPr>
            <w:r>
              <w:rPr>
                <w:rFonts w:hint="eastAsia" w:ascii="仿宋" w:hAnsi="仿宋" w:eastAsia="仿宋" w:cs="仿宋_GB2312"/>
                <w:sz w:val="32"/>
                <w:szCs w:val="32"/>
              </w:rPr>
              <w:t>报到时间</w:t>
            </w:r>
          </w:p>
        </w:tc>
        <w:tc>
          <w:tcPr>
            <w:tcW w:w="2552"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仿宋" w:hAnsi="仿宋" w:eastAsia="仿宋" w:cs="仿宋_GB2312"/>
                <w:sz w:val="32"/>
                <w:szCs w:val="32"/>
              </w:rPr>
            </w:pPr>
            <w:r>
              <w:rPr>
                <w:rFonts w:hint="eastAsia" w:ascii="仿宋" w:hAnsi="仿宋" w:eastAsia="仿宋" w:cs="仿宋_GB2312"/>
                <w:sz w:val="32"/>
                <w:szCs w:val="32"/>
              </w:rPr>
              <w:t>培训时间</w:t>
            </w:r>
          </w:p>
        </w:tc>
        <w:tc>
          <w:tcPr>
            <w:tcW w:w="1701" w:type="dxa"/>
            <w:tcBorders>
              <w:top w:val="single" w:color="000000" w:sz="6" w:space="0"/>
              <w:left w:val="single" w:color="000000" w:sz="6" w:space="0"/>
              <w:bottom w:val="single" w:color="000000" w:sz="6" w:space="0"/>
              <w:right w:val="single" w:color="000000" w:sz="6" w:space="0"/>
            </w:tcBorders>
          </w:tcPr>
          <w:p>
            <w:pPr>
              <w:spacing w:line="360" w:lineRule="auto"/>
              <w:jc w:val="center"/>
              <w:rPr>
                <w:rFonts w:ascii="仿宋" w:hAnsi="仿宋" w:eastAsia="仿宋" w:cs="仿宋_GB2312"/>
                <w:sz w:val="32"/>
                <w:szCs w:val="32"/>
              </w:rPr>
            </w:pPr>
            <w:r>
              <w:rPr>
                <w:rFonts w:hint="eastAsia" w:ascii="仿宋" w:hAnsi="仿宋" w:eastAsia="仿宋" w:cs="仿宋_GB2312"/>
                <w:sz w:val="32"/>
                <w:szCs w:val="32"/>
              </w:rPr>
              <w:t>返程时间</w:t>
            </w:r>
          </w:p>
        </w:tc>
        <w:tc>
          <w:tcPr>
            <w:tcW w:w="1068" w:type="dxa"/>
            <w:tcBorders>
              <w:top w:val="single" w:color="000000" w:sz="6" w:space="0"/>
              <w:left w:val="single" w:color="000000" w:sz="6" w:space="0"/>
              <w:bottom w:val="single" w:color="000000" w:sz="6" w:space="0"/>
              <w:right w:val="single" w:color="000000" w:sz="6" w:space="0"/>
            </w:tcBorders>
          </w:tcPr>
          <w:p>
            <w:pPr>
              <w:spacing w:line="360" w:lineRule="auto"/>
              <w:jc w:val="center"/>
              <w:rPr>
                <w:rFonts w:ascii="仿宋" w:hAnsi="仿宋" w:eastAsia="仿宋" w:cs="仿宋_GB2312"/>
                <w:sz w:val="32"/>
                <w:szCs w:val="32"/>
              </w:rPr>
            </w:pPr>
            <w:r>
              <w:rPr>
                <w:rFonts w:hint="eastAsia" w:ascii="仿宋" w:hAnsi="仿宋" w:eastAsia="仿宋" w:cs="仿宋_GB2312"/>
                <w:sz w:val="32"/>
                <w:szCs w:val="32"/>
              </w:rPr>
              <w:t>地点</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75" w:type="dxa"/>
            <w:left w:w="75" w:type="dxa"/>
            <w:bottom w:w="75" w:type="dxa"/>
            <w:right w:w="75" w:type="dxa"/>
          </w:tblCellMar>
        </w:tblPrEx>
        <w:trPr>
          <w:jc w:val="center"/>
        </w:trPr>
        <w:tc>
          <w:tcPr>
            <w:tcW w:w="1268" w:type="dxa"/>
            <w:tcBorders>
              <w:top w:val="single" w:color="000000" w:sz="6" w:space="0"/>
              <w:left w:val="single" w:color="000000" w:sz="6" w:space="0"/>
              <w:bottom w:val="single" w:color="000000" w:sz="6" w:space="0"/>
              <w:right w:val="single" w:color="000000" w:sz="6" w:space="0"/>
            </w:tcBorders>
          </w:tcPr>
          <w:p>
            <w:pPr>
              <w:spacing w:line="360" w:lineRule="auto"/>
              <w:jc w:val="center"/>
              <w:rPr>
                <w:rFonts w:ascii="仿宋" w:hAnsi="仿宋" w:eastAsia="仿宋" w:cs="仿宋_GB2312"/>
                <w:sz w:val="32"/>
                <w:szCs w:val="32"/>
              </w:rPr>
            </w:pPr>
            <w:r>
              <w:rPr>
                <w:rFonts w:hint="eastAsia" w:ascii="仿宋" w:hAnsi="仿宋" w:eastAsia="仿宋" w:cs="仿宋_GB2312"/>
                <w:sz w:val="32"/>
                <w:szCs w:val="32"/>
              </w:rPr>
              <w:t>第</w:t>
            </w:r>
            <w:r>
              <w:rPr>
                <w:rFonts w:ascii="仿宋" w:hAnsi="仿宋" w:eastAsia="仿宋" w:cs="仿宋_GB2312"/>
                <w:sz w:val="32"/>
                <w:szCs w:val="32"/>
              </w:rPr>
              <w:t>1</w:t>
            </w:r>
            <w:r>
              <w:rPr>
                <w:rFonts w:hint="eastAsia" w:ascii="仿宋" w:hAnsi="仿宋" w:eastAsia="仿宋" w:cs="仿宋_GB2312"/>
                <w:sz w:val="32"/>
                <w:szCs w:val="32"/>
              </w:rPr>
              <w:t>期</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仿宋" w:hAnsi="仿宋" w:eastAsia="仿宋" w:cs="仿宋_GB2312"/>
                <w:sz w:val="32"/>
                <w:szCs w:val="32"/>
              </w:rPr>
            </w:pPr>
            <w:r>
              <w:rPr>
                <w:rFonts w:hint="eastAsia" w:ascii="仿宋" w:hAnsi="仿宋" w:eastAsia="仿宋" w:cs="仿宋_GB2312"/>
                <w:sz w:val="32"/>
                <w:szCs w:val="32"/>
                <w:lang w:val="en-US" w:eastAsia="zh-CN"/>
              </w:rPr>
              <w:t>5</w:t>
            </w:r>
            <w:r>
              <w:rPr>
                <w:rFonts w:hint="eastAsia" w:ascii="仿宋" w:hAnsi="仿宋" w:eastAsia="仿宋" w:cs="仿宋_GB2312"/>
                <w:sz w:val="32"/>
                <w:szCs w:val="32"/>
              </w:rPr>
              <w:t>月</w:t>
            </w:r>
            <w:r>
              <w:rPr>
                <w:rFonts w:ascii="仿宋" w:hAnsi="仿宋" w:eastAsia="仿宋" w:cs="仿宋_GB2312"/>
                <w:sz w:val="32"/>
                <w:szCs w:val="32"/>
              </w:rPr>
              <w:t>21</w:t>
            </w:r>
            <w:r>
              <w:rPr>
                <w:rFonts w:hint="eastAsia" w:ascii="仿宋" w:hAnsi="仿宋" w:eastAsia="仿宋" w:cs="仿宋_GB2312"/>
                <w:sz w:val="32"/>
                <w:szCs w:val="32"/>
              </w:rPr>
              <w:t>日</w:t>
            </w:r>
          </w:p>
        </w:tc>
        <w:tc>
          <w:tcPr>
            <w:tcW w:w="2552"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仿宋" w:hAnsi="仿宋" w:eastAsia="仿宋" w:cs="仿宋_GB2312"/>
                <w:sz w:val="32"/>
                <w:szCs w:val="32"/>
              </w:rPr>
            </w:pPr>
            <w:r>
              <w:rPr>
                <w:rFonts w:hint="eastAsia" w:ascii="仿宋" w:hAnsi="仿宋" w:eastAsia="仿宋" w:cs="仿宋_GB2312"/>
                <w:sz w:val="32"/>
                <w:szCs w:val="32"/>
                <w:lang w:val="en-US" w:eastAsia="zh-CN"/>
              </w:rPr>
              <w:t>5</w:t>
            </w:r>
            <w:r>
              <w:rPr>
                <w:rFonts w:hint="eastAsia" w:ascii="仿宋" w:hAnsi="仿宋" w:eastAsia="仿宋" w:cs="仿宋_GB2312"/>
                <w:sz w:val="32"/>
                <w:szCs w:val="32"/>
              </w:rPr>
              <w:t>月</w:t>
            </w:r>
            <w:r>
              <w:rPr>
                <w:rFonts w:ascii="仿宋" w:hAnsi="仿宋" w:eastAsia="仿宋" w:cs="仿宋_GB2312"/>
                <w:sz w:val="32"/>
                <w:szCs w:val="32"/>
              </w:rPr>
              <w:t>22</w:t>
            </w:r>
            <w:r>
              <w:rPr>
                <w:rFonts w:hint="eastAsia" w:ascii="仿宋" w:hAnsi="仿宋" w:eastAsia="仿宋" w:cs="仿宋_GB2312"/>
                <w:sz w:val="32"/>
                <w:szCs w:val="32"/>
              </w:rPr>
              <w:t>日-</w:t>
            </w:r>
            <w:r>
              <w:rPr>
                <w:rFonts w:ascii="仿宋" w:hAnsi="仿宋" w:eastAsia="仿宋" w:cs="仿宋_GB2312"/>
                <w:sz w:val="32"/>
                <w:szCs w:val="32"/>
              </w:rPr>
              <w:t>24</w:t>
            </w:r>
            <w:r>
              <w:rPr>
                <w:rFonts w:hint="eastAsia" w:ascii="仿宋" w:hAnsi="仿宋" w:eastAsia="仿宋" w:cs="仿宋_GB2312"/>
                <w:sz w:val="32"/>
                <w:szCs w:val="32"/>
              </w:rPr>
              <w:t>日</w:t>
            </w:r>
          </w:p>
        </w:tc>
        <w:tc>
          <w:tcPr>
            <w:tcW w:w="1701" w:type="dxa"/>
            <w:tcBorders>
              <w:top w:val="single" w:color="000000" w:sz="6" w:space="0"/>
              <w:left w:val="single" w:color="000000" w:sz="6" w:space="0"/>
              <w:bottom w:val="single" w:color="000000" w:sz="6" w:space="0"/>
              <w:right w:val="single" w:color="000000" w:sz="6" w:space="0"/>
            </w:tcBorders>
          </w:tcPr>
          <w:p>
            <w:pPr>
              <w:spacing w:line="360" w:lineRule="auto"/>
              <w:jc w:val="center"/>
              <w:rPr>
                <w:rFonts w:ascii="仿宋" w:hAnsi="仿宋" w:eastAsia="仿宋" w:cs="仿宋_GB2312"/>
                <w:sz w:val="32"/>
                <w:szCs w:val="32"/>
              </w:rPr>
            </w:pPr>
            <w:r>
              <w:rPr>
                <w:rFonts w:hint="eastAsia" w:ascii="仿宋" w:hAnsi="仿宋" w:eastAsia="仿宋" w:cs="仿宋_GB2312"/>
                <w:sz w:val="32"/>
                <w:szCs w:val="32"/>
                <w:lang w:val="en-US" w:eastAsia="zh-CN"/>
              </w:rPr>
              <w:t>5</w:t>
            </w:r>
            <w:r>
              <w:rPr>
                <w:rFonts w:hint="eastAsia" w:ascii="仿宋" w:hAnsi="仿宋" w:eastAsia="仿宋" w:cs="仿宋_GB2312"/>
                <w:sz w:val="32"/>
                <w:szCs w:val="32"/>
              </w:rPr>
              <w:t>月</w:t>
            </w:r>
            <w:r>
              <w:rPr>
                <w:rFonts w:ascii="仿宋" w:hAnsi="仿宋" w:eastAsia="仿宋" w:cs="仿宋_GB2312"/>
                <w:sz w:val="32"/>
                <w:szCs w:val="32"/>
              </w:rPr>
              <w:t>25</w:t>
            </w:r>
            <w:r>
              <w:rPr>
                <w:rFonts w:hint="eastAsia" w:ascii="仿宋" w:hAnsi="仿宋" w:eastAsia="仿宋" w:cs="仿宋_GB2312"/>
                <w:sz w:val="32"/>
                <w:szCs w:val="32"/>
              </w:rPr>
              <w:t>日</w:t>
            </w:r>
          </w:p>
        </w:tc>
        <w:tc>
          <w:tcPr>
            <w:tcW w:w="1068" w:type="dxa"/>
            <w:tcBorders>
              <w:top w:val="single" w:color="000000" w:sz="6" w:space="0"/>
              <w:left w:val="single" w:color="000000" w:sz="6" w:space="0"/>
              <w:bottom w:val="single" w:color="000000" w:sz="6" w:space="0"/>
              <w:right w:val="single" w:color="000000" w:sz="6" w:space="0"/>
            </w:tcBorders>
          </w:tcPr>
          <w:p>
            <w:pPr>
              <w:spacing w:line="360" w:lineRule="auto"/>
              <w:jc w:val="center"/>
              <w:rPr>
                <w:rFonts w:ascii="仿宋" w:hAnsi="仿宋" w:eastAsia="仿宋" w:cs="仿宋_GB2312"/>
                <w:sz w:val="32"/>
                <w:szCs w:val="32"/>
              </w:rPr>
            </w:pPr>
            <w:r>
              <w:rPr>
                <w:rFonts w:hint="eastAsia" w:ascii="仿宋" w:hAnsi="仿宋" w:eastAsia="仿宋" w:cs="仿宋_GB2312"/>
                <w:sz w:val="32"/>
                <w:szCs w:val="32"/>
              </w:rPr>
              <w:t>北京</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75" w:type="dxa"/>
            <w:left w:w="75" w:type="dxa"/>
            <w:bottom w:w="75" w:type="dxa"/>
            <w:right w:w="75" w:type="dxa"/>
          </w:tblCellMar>
        </w:tblPrEx>
        <w:trPr>
          <w:jc w:val="center"/>
        </w:trPr>
        <w:tc>
          <w:tcPr>
            <w:tcW w:w="1268" w:type="dxa"/>
            <w:tcBorders>
              <w:top w:val="single" w:color="000000" w:sz="6" w:space="0"/>
              <w:left w:val="single" w:color="000000" w:sz="6" w:space="0"/>
              <w:bottom w:val="single" w:color="000000" w:sz="6" w:space="0"/>
              <w:right w:val="single" w:color="000000" w:sz="6" w:space="0"/>
            </w:tcBorders>
          </w:tcPr>
          <w:p>
            <w:pPr>
              <w:spacing w:line="360" w:lineRule="auto"/>
              <w:jc w:val="center"/>
              <w:rPr>
                <w:rFonts w:ascii="仿宋" w:hAnsi="仿宋" w:eastAsia="仿宋" w:cs="仿宋_GB2312"/>
                <w:sz w:val="32"/>
                <w:szCs w:val="32"/>
              </w:rPr>
            </w:pPr>
            <w:r>
              <w:rPr>
                <w:rFonts w:hint="eastAsia" w:ascii="仿宋" w:hAnsi="仿宋" w:eastAsia="仿宋" w:cs="仿宋_GB2312"/>
                <w:sz w:val="32"/>
                <w:szCs w:val="32"/>
              </w:rPr>
              <w:t>第</w:t>
            </w:r>
            <w:r>
              <w:rPr>
                <w:rFonts w:ascii="仿宋" w:hAnsi="仿宋" w:eastAsia="仿宋" w:cs="仿宋_GB2312"/>
                <w:sz w:val="32"/>
                <w:szCs w:val="32"/>
              </w:rPr>
              <w:t>2</w:t>
            </w:r>
            <w:r>
              <w:rPr>
                <w:rFonts w:hint="eastAsia" w:ascii="仿宋" w:hAnsi="仿宋" w:eastAsia="仿宋" w:cs="仿宋_GB2312"/>
                <w:sz w:val="32"/>
                <w:szCs w:val="32"/>
              </w:rPr>
              <w:t>期</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仿宋" w:hAnsi="仿宋" w:eastAsia="仿宋" w:cs="仿宋_GB2312"/>
                <w:sz w:val="32"/>
                <w:szCs w:val="32"/>
              </w:rPr>
            </w:pPr>
            <w:r>
              <w:rPr>
                <w:rFonts w:ascii="仿宋" w:hAnsi="仿宋" w:eastAsia="仿宋" w:cs="仿宋_GB2312"/>
                <w:sz w:val="32"/>
                <w:szCs w:val="32"/>
              </w:rPr>
              <w:t>6</w:t>
            </w:r>
            <w:r>
              <w:rPr>
                <w:rFonts w:hint="eastAsia" w:ascii="仿宋" w:hAnsi="仿宋" w:eastAsia="仿宋" w:cs="仿宋_GB2312"/>
                <w:sz w:val="32"/>
                <w:szCs w:val="32"/>
              </w:rPr>
              <w:t>月</w:t>
            </w:r>
            <w:r>
              <w:rPr>
                <w:rFonts w:ascii="仿宋" w:hAnsi="仿宋" w:eastAsia="仿宋" w:cs="仿宋_GB2312"/>
                <w:sz w:val="32"/>
                <w:szCs w:val="32"/>
              </w:rPr>
              <w:t>23</w:t>
            </w:r>
            <w:r>
              <w:rPr>
                <w:rFonts w:hint="eastAsia" w:ascii="仿宋" w:hAnsi="仿宋" w:eastAsia="仿宋" w:cs="仿宋_GB2312"/>
                <w:sz w:val="32"/>
                <w:szCs w:val="32"/>
              </w:rPr>
              <w:t>日</w:t>
            </w:r>
          </w:p>
        </w:tc>
        <w:tc>
          <w:tcPr>
            <w:tcW w:w="2552"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仿宋" w:hAnsi="仿宋" w:eastAsia="仿宋" w:cs="仿宋_GB2312"/>
                <w:sz w:val="32"/>
                <w:szCs w:val="32"/>
              </w:rPr>
            </w:pPr>
            <w:r>
              <w:rPr>
                <w:rFonts w:ascii="仿宋" w:hAnsi="仿宋" w:eastAsia="仿宋" w:cs="仿宋_GB2312"/>
                <w:sz w:val="32"/>
                <w:szCs w:val="32"/>
              </w:rPr>
              <w:t>6</w:t>
            </w:r>
            <w:r>
              <w:rPr>
                <w:rFonts w:hint="eastAsia" w:ascii="仿宋" w:hAnsi="仿宋" w:eastAsia="仿宋" w:cs="仿宋_GB2312"/>
                <w:sz w:val="32"/>
                <w:szCs w:val="32"/>
              </w:rPr>
              <w:t>月</w:t>
            </w:r>
            <w:r>
              <w:rPr>
                <w:rFonts w:ascii="仿宋" w:hAnsi="仿宋" w:eastAsia="仿宋" w:cs="仿宋_GB2312"/>
                <w:sz w:val="32"/>
                <w:szCs w:val="32"/>
              </w:rPr>
              <w:t>24</w:t>
            </w:r>
            <w:r>
              <w:rPr>
                <w:rFonts w:hint="eastAsia" w:ascii="仿宋" w:hAnsi="仿宋" w:eastAsia="仿宋" w:cs="仿宋_GB2312"/>
                <w:sz w:val="32"/>
                <w:szCs w:val="32"/>
              </w:rPr>
              <w:t>日-</w:t>
            </w:r>
            <w:r>
              <w:rPr>
                <w:rFonts w:ascii="仿宋" w:hAnsi="仿宋" w:eastAsia="仿宋" w:cs="仿宋_GB2312"/>
                <w:sz w:val="32"/>
                <w:szCs w:val="32"/>
              </w:rPr>
              <w:t>26</w:t>
            </w:r>
            <w:r>
              <w:rPr>
                <w:rFonts w:hint="eastAsia" w:ascii="仿宋" w:hAnsi="仿宋" w:eastAsia="仿宋" w:cs="仿宋_GB2312"/>
                <w:sz w:val="32"/>
                <w:szCs w:val="32"/>
              </w:rPr>
              <w:t>日</w:t>
            </w:r>
          </w:p>
        </w:tc>
        <w:tc>
          <w:tcPr>
            <w:tcW w:w="1701" w:type="dxa"/>
            <w:tcBorders>
              <w:top w:val="single" w:color="000000" w:sz="6" w:space="0"/>
              <w:left w:val="single" w:color="000000" w:sz="6" w:space="0"/>
              <w:bottom w:val="single" w:color="000000" w:sz="6" w:space="0"/>
              <w:right w:val="single" w:color="000000" w:sz="6" w:space="0"/>
            </w:tcBorders>
          </w:tcPr>
          <w:p>
            <w:pPr>
              <w:spacing w:line="360" w:lineRule="auto"/>
              <w:jc w:val="center"/>
              <w:rPr>
                <w:rFonts w:ascii="仿宋" w:hAnsi="仿宋" w:eastAsia="仿宋" w:cs="仿宋_GB2312"/>
                <w:sz w:val="32"/>
                <w:szCs w:val="32"/>
              </w:rPr>
            </w:pPr>
            <w:r>
              <w:rPr>
                <w:rFonts w:ascii="仿宋" w:hAnsi="仿宋" w:eastAsia="仿宋" w:cs="仿宋_GB2312"/>
                <w:sz w:val="32"/>
                <w:szCs w:val="32"/>
              </w:rPr>
              <w:t>6</w:t>
            </w:r>
            <w:r>
              <w:rPr>
                <w:rFonts w:hint="eastAsia" w:ascii="仿宋" w:hAnsi="仿宋" w:eastAsia="仿宋" w:cs="仿宋_GB2312"/>
                <w:sz w:val="32"/>
                <w:szCs w:val="32"/>
              </w:rPr>
              <w:t>月</w:t>
            </w:r>
            <w:r>
              <w:rPr>
                <w:rFonts w:ascii="仿宋" w:hAnsi="仿宋" w:eastAsia="仿宋" w:cs="仿宋_GB2312"/>
                <w:sz w:val="32"/>
                <w:szCs w:val="32"/>
              </w:rPr>
              <w:t>27</w:t>
            </w:r>
            <w:r>
              <w:rPr>
                <w:rFonts w:hint="eastAsia" w:ascii="仿宋" w:hAnsi="仿宋" w:eastAsia="仿宋" w:cs="仿宋_GB2312"/>
                <w:sz w:val="32"/>
                <w:szCs w:val="32"/>
              </w:rPr>
              <w:t>日</w:t>
            </w:r>
          </w:p>
        </w:tc>
        <w:tc>
          <w:tcPr>
            <w:tcW w:w="1068" w:type="dxa"/>
            <w:tcBorders>
              <w:top w:val="single" w:color="000000" w:sz="6" w:space="0"/>
              <w:left w:val="single" w:color="000000" w:sz="6" w:space="0"/>
              <w:bottom w:val="single" w:color="000000" w:sz="6" w:space="0"/>
              <w:right w:val="single" w:color="000000" w:sz="6" w:space="0"/>
            </w:tcBorders>
          </w:tcPr>
          <w:p>
            <w:pPr>
              <w:spacing w:line="360" w:lineRule="auto"/>
              <w:jc w:val="center"/>
              <w:rPr>
                <w:rFonts w:ascii="仿宋" w:hAnsi="仿宋" w:eastAsia="仿宋" w:cs="仿宋_GB2312"/>
                <w:sz w:val="32"/>
                <w:szCs w:val="32"/>
              </w:rPr>
            </w:pPr>
            <w:r>
              <w:rPr>
                <w:rFonts w:hint="eastAsia" w:ascii="仿宋" w:hAnsi="仿宋" w:eastAsia="仿宋" w:cs="仿宋_GB2312"/>
                <w:sz w:val="32"/>
                <w:szCs w:val="32"/>
              </w:rPr>
              <w:t>贵阳</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75" w:type="dxa"/>
            <w:left w:w="75" w:type="dxa"/>
            <w:bottom w:w="75" w:type="dxa"/>
            <w:right w:w="75" w:type="dxa"/>
          </w:tblCellMar>
        </w:tblPrEx>
        <w:trPr>
          <w:jc w:val="center"/>
        </w:trPr>
        <w:tc>
          <w:tcPr>
            <w:tcW w:w="1268" w:type="dxa"/>
            <w:tcBorders>
              <w:top w:val="single" w:color="000000" w:sz="6" w:space="0"/>
              <w:left w:val="single" w:color="000000" w:sz="6" w:space="0"/>
              <w:bottom w:val="single" w:color="000000" w:sz="6" w:space="0"/>
              <w:right w:val="single" w:color="000000" w:sz="6" w:space="0"/>
            </w:tcBorders>
          </w:tcPr>
          <w:p>
            <w:pPr>
              <w:spacing w:line="360" w:lineRule="auto"/>
              <w:jc w:val="center"/>
              <w:rPr>
                <w:rFonts w:ascii="仿宋" w:hAnsi="仿宋" w:eastAsia="仿宋" w:cs="仿宋_GB2312"/>
                <w:sz w:val="32"/>
                <w:szCs w:val="32"/>
              </w:rPr>
            </w:pPr>
            <w:r>
              <w:rPr>
                <w:rFonts w:hint="eastAsia" w:ascii="仿宋" w:hAnsi="仿宋" w:eastAsia="仿宋" w:cs="仿宋_GB2312"/>
                <w:sz w:val="32"/>
                <w:szCs w:val="32"/>
              </w:rPr>
              <w:t>第</w:t>
            </w:r>
            <w:r>
              <w:rPr>
                <w:rFonts w:ascii="仿宋" w:hAnsi="仿宋" w:eastAsia="仿宋" w:cs="仿宋_GB2312"/>
                <w:sz w:val="32"/>
                <w:szCs w:val="32"/>
              </w:rPr>
              <w:t>3</w:t>
            </w:r>
            <w:r>
              <w:rPr>
                <w:rFonts w:hint="eastAsia" w:ascii="仿宋" w:hAnsi="仿宋" w:eastAsia="仿宋" w:cs="仿宋_GB2312"/>
                <w:sz w:val="32"/>
                <w:szCs w:val="32"/>
              </w:rPr>
              <w:t>期</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仿宋" w:hAnsi="仿宋" w:eastAsia="仿宋" w:cs="仿宋_GB2312"/>
                <w:sz w:val="32"/>
                <w:szCs w:val="32"/>
              </w:rPr>
            </w:pPr>
            <w:r>
              <w:rPr>
                <w:rFonts w:ascii="仿宋" w:hAnsi="仿宋" w:eastAsia="仿宋" w:cs="仿宋_GB2312"/>
                <w:sz w:val="32"/>
                <w:szCs w:val="32"/>
              </w:rPr>
              <w:t>8</w:t>
            </w:r>
            <w:r>
              <w:rPr>
                <w:rFonts w:hint="eastAsia" w:ascii="仿宋" w:hAnsi="仿宋" w:eastAsia="仿宋" w:cs="仿宋_GB2312"/>
                <w:sz w:val="32"/>
                <w:szCs w:val="32"/>
              </w:rPr>
              <w:t>月</w:t>
            </w:r>
            <w:r>
              <w:rPr>
                <w:rFonts w:ascii="仿宋" w:hAnsi="仿宋" w:eastAsia="仿宋" w:cs="仿宋_GB2312"/>
                <w:sz w:val="32"/>
                <w:szCs w:val="32"/>
              </w:rPr>
              <w:t>12</w:t>
            </w:r>
            <w:r>
              <w:rPr>
                <w:rFonts w:hint="eastAsia" w:ascii="仿宋" w:hAnsi="仿宋" w:eastAsia="仿宋" w:cs="仿宋_GB2312"/>
                <w:sz w:val="32"/>
                <w:szCs w:val="32"/>
              </w:rPr>
              <w:t>日</w:t>
            </w:r>
          </w:p>
        </w:tc>
        <w:tc>
          <w:tcPr>
            <w:tcW w:w="2552"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仿宋" w:hAnsi="仿宋" w:eastAsia="仿宋" w:cs="仿宋_GB2312"/>
                <w:sz w:val="32"/>
                <w:szCs w:val="32"/>
              </w:rPr>
            </w:pPr>
            <w:r>
              <w:rPr>
                <w:rFonts w:ascii="仿宋" w:hAnsi="仿宋" w:eastAsia="仿宋" w:cs="仿宋_GB2312"/>
                <w:sz w:val="32"/>
                <w:szCs w:val="32"/>
              </w:rPr>
              <w:t>8</w:t>
            </w:r>
            <w:r>
              <w:rPr>
                <w:rFonts w:hint="eastAsia" w:ascii="仿宋" w:hAnsi="仿宋" w:eastAsia="仿宋" w:cs="仿宋_GB2312"/>
                <w:sz w:val="32"/>
                <w:szCs w:val="32"/>
              </w:rPr>
              <w:t>月</w:t>
            </w:r>
            <w:r>
              <w:rPr>
                <w:rFonts w:ascii="仿宋" w:hAnsi="仿宋" w:eastAsia="仿宋" w:cs="仿宋_GB2312"/>
                <w:sz w:val="32"/>
                <w:szCs w:val="32"/>
              </w:rPr>
              <w:t>13</w:t>
            </w:r>
            <w:r>
              <w:rPr>
                <w:rFonts w:hint="eastAsia" w:ascii="仿宋" w:hAnsi="仿宋" w:eastAsia="仿宋" w:cs="仿宋_GB2312"/>
                <w:sz w:val="32"/>
                <w:szCs w:val="32"/>
              </w:rPr>
              <w:t>日-</w:t>
            </w:r>
            <w:r>
              <w:rPr>
                <w:rFonts w:ascii="仿宋" w:hAnsi="仿宋" w:eastAsia="仿宋" w:cs="仿宋_GB2312"/>
                <w:sz w:val="32"/>
                <w:szCs w:val="32"/>
              </w:rPr>
              <w:t>15</w:t>
            </w:r>
            <w:r>
              <w:rPr>
                <w:rFonts w:hint="eastAsia" w:ascii="仿宋" w:hAnsi="仿宋" w:eastAsia="仿宋" w:cs="仿宋_GB2312"/>
                <w:sz w:val="32"/>
                <w:szCs w:val="32"/>
              </w:rPr>
              <w:t>日</w:t>
            </w:r>
          </w:p>
        </w:tc>
        <w:tc>
          <w:tcPr>
            <w:tcW w:w="1701" w:type="dxa"/>
            <w:tcBorders>
              <w:top w:val="single" w:color="000000" w:sz="6" w:space="0"/>
              <w:left w:val="single" w:color="000000" w:sz="6" w:space="0"/>
              <w:bottom w:val="single" w:color="000000" w:sz="6" w:space="0"/>
              <w:right w:val="single" w:color="000000" w:sz="6" w:space="0"/>
            </w:tcBorders>
          </w:tcPr>
          <w:p>
            <w:pPr>
              <w:spacing w:line="360" w:lineRule="auto"/>
              <w:jc w:val="center"/>
              <w:rPr>
                <w:rFonts w:ascii="仿宋" w:hAnsi="仿宋" w:eastAsia="仿宋" w:cs="仿宋_GB2312"/>
                <w:sz w:val="32"/>
                <w:szCs w:val="32"/>
              </w:rPr>
            </w:pPr>
            <w:r>
              <w:rPr>
                <w:rFonts w:ascii="仿宋" w:hAnsi="仿宋" w:eastAsia="仿宋" w:cs="仿宋_GB2312"/>
                <w:sz w:val="32"/>
                <w:szCs w:val="32"/>
              </w:rPr>
              <w:t>8</w:t>
            </w:r>
            <w:r>
              <w:rPr>
                <w:rFonts w:hint="eastAsia" w:ascii="仿宋" w:hAnsi="仿宋" w:eastAsia="仿宋" w:cs="仿宋_GB2312"/>
                <w:sz w:val="32"/>
                <w:szCs w:val="32"/>
              </w:rPr>
              <w:t>月</w:t>
            </w:r>
            <w:r>
              <w:rPr>
                <w:rFonts w:ascii="仿宋" w:hAnsi="仿宋" w:eastAsia="仿宋" w:cs="仿宋_GB2312"/>
                <w:sz w:val="32"/>
                <w:szCs w:val="32"/>
              </w:rPr>
              <w:t>16</w:t>
            </w:r>
            <w:r>
              <w:rPr>
                <w:rFonts w:hint="eastAsia" w:ascii="仿宋" w:hAnsi="仿宋" w:eastAsia="仿宋" w:cs="仿宋_GB2312"/>
                <w:sz w:val="32"/>
                <w:szCs w:val="32"/>
              </w:rPr>
              <w:t>日</w:t>
            </w:r>
          </w:p>
        </w:tc>
        <w:tc>
          <w:tcPr>
            <w:tcW w:w="1068" w:type="dxa"/>
            <w:tcBorders>
              <w:top w:val="single" w:color="000000" w:sz="6" w:space="0"/>
              <w:left w:val="single" w:color="000000" w:sz="6" w:space="0"/>
              <w:bottom w:val="single" w:color="000000" w:sz="6" w:space="0"/>
              <w:right w:val="single" w:color="000000" w:sz="6" w:space="0"/>
            </w:tcBorders>
          </w:tcPr>
          <w:p>
            <w:pPr>
              <w:spacing w:line="360" w:lineRule="auto"/>
              <w:jc w:val="center"/>
              <w:rPr>
                <w:rFonts w:ascii="仿宋" w:hAnsi="仿宋" w:eastAsia="仿宋" w:cs="仿宋_GB2312"/>
                <w:sz w:val="32"/>
                <w:szCs w:val="32"/>
              </w:rPr>
            </w:pPr>
            <w:r>
              <w:rPr>
                <w:rFonts w:hint="eastAsia" w:ascii="仿宋" w:hAnsi="仿宋" w:eastAsia="仿宋" w:cs="仿宋_GB2312"/>
                <w:sz w:val="32"/>
                <w:szCs w:val="32"/>
              </w:rPr>
              <w:t>昆明</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75" w:type="dxa"/>
            <w:left w:w="75" w:type="dxa"/>
            <w:bottom w:w="75" w:type="dxa"/>
            <w:right w:w="75" w:type="dxa"/>
          </w:tblCellMar>
        </w:tblPrEx>
        <w:trPr>
          <w:jc w:val="center"/>
        </w:trPr>
        <w:tc>
          <w:tcPr>
            <w:tcW w:w="1268" w:type="dxa"/>
            <w:tcBorders>
              <w:top w:val="single" w:color="000000" w:sz="6" w:space="0"/>
              <w:left w:val="single" w:color="000000" w:sz="6" w:space="0"/>
              <w:bottom w:val="single" w:color="000000" w:sz="6" w:space="0"/>
              <w:right w:val="single" w:color="000000" w:sz="6" w:space="0"/>
            </w:tcBorders>
          </w:tcPr>
          <w:p>
            <w:pPr>
              <w:spacing w:line="360" w:lineRule="auto"/>
              <w:jc w:val="center"/>
              <w:rPr>
                <w:rFonts w:ascii="仿宋" w:hAnsi="仿宋" w:eastAsia="仿宋" w:cs="仿宋_GB2312"/>
                <w:sz w:val="32"/>
                <w:szCs w:val="32"/>
              </w:rPr>
            </w:pPr>
            <w:r>
              <w:rPr>
                <w:rFonts w:hint="eastAsia" w:ascii="仿宋" w:hAnsi="仿宋" w:eastAsia="仿宋" w:cs="仿宋_GB2312"/>
                <w:sz w:val="32"/>
                <w:szCs w:val="32"/>
              </w:rPr>
              <w:t>第</w:t>
            </w:r>
            <w:r>
              <w:rPr>
                <w:rFonts w:ascii="仿宋" w:hAnsi="仿宋" w:eastAsia="仿宋" w:cs="仿宋_GB2312"/>
                <w:sz w:val="32"/>
                <w:szCs w:val="32"/>
              </w:rPr>
              <w:t>4</w:t>
            </w:r>
            <w:r>
              <w:rPr>
                <w:rFonts w:hint="eastAsia" w:ascii="仿宋" w:hAnsi="仿宋" w:eastAsia="仿宋" w:cs="仿宋_GB2312"/>
                <w:sz w:val="32"/>
                <w:szCs w:val="32"/>
              </w:rPr>
              <w:t>期</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仿宋" w:hAnsi="仿宋" w:eastAsia="仿宋" w:cs="仿宋_GB2312"/>
                <w:sz w:val="32"/>
                <w:szCs w:val="32"/>
              </w:rPr>
            </w:pPr>
            <w:r>
              <w:rPr>
                <w:rFonts w:ascii="仿宋" w:hAnsi="仿宋" w:eastAsia="仿宋" w:cs="仿宋_GB2312"/>
                <w:sz w:val="32"/>
                <w:szCs w:val="32"/>
              </w:rPr>
              <w:t>10</w:t>
            </w:r>
            <w:r>
              <w:rPr>
                <w:rFonts w:hint="eastAsia" w:ascii="仿宋" w:hAnsi="仿宋" w:eastAsia="仿宋" w:cs="仿宋_GB2312"/>
                <w:sz w:val="32"/>
                <w:szCs w:val="32"/>
              </w:rPr>
              <w:t>月</w:t>
            </w:r>
            <w:r>
              <w:rPr>
                <w:rFonts w:ascii="仿宋" w:hAnsi="仿宋" w:eastAsia="仿宋" w:cs="仿宋_GB2312"/>
                <w:sz w:val="32"/>
                <w:szCs w:val="32"/>
              </w:rPr>
              <w:t>27</w:t>
            </w:r>
            <w:r>
              <w:rPr>
                <w:rFonts w:hint="eastAsia" w:ascii="仿宋" w:hAnsi="仿宋" w:eastAsia="仿宋" w:cs="仿宋_GB2312"/>
                <w:sz w:val="32"/>
                <w:szCs w:val="32"/>
              </w:rPr>
              <w:t>日</w:t>
            </w:r>
          </w:p>
        </w:tc>
        <w:tc>
          <w:tcPr>
            <w:tcW w:w="2552"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仿宋" w:hAnsi="仿宋" w:eastAsia="仿宋" w:cs="仿宋_GB2312"/>
                <w:sz w:val="32"/>
                <w:szCs w:val="32"/>
              </w:rPr>
            </w:pPr>
            <w:r>
              <w:rPr>
                <w:rFonts w:ascii="仿宋" w:hAnsi="仿宋" w:eastAsia="仿宋" w:cs="仿宋_GB2312"/>
                <w:sz w:val="32"/>
                <w:szCs w:val="32"/>
              </w:rPr>
              <w:t>10</w:t>
            </w:r>
            <w:r>
              <w:rPr>
                <w:rFonts w:hint="eastAsia" w:ascii="仿宋" w:hAnsi="仿宋" w:eastAsia="仿宋" w:cs="仿宋_GB2312"/>
                <w:sz w:val="32"/>
                <w:szCs w:val="32"/>
              </w:rPr>
              <w:t>月</w:t>
            </w:r>
            <w:r>
              <w:rPr>
                <w:rFonts w:ascii="仿宋" w:hAnsi="仿宋" w:eastAsia="仿宋" w:cs="仿宋_GB2312"/>
                <w:sz w:val="32"/>
                <w:szCs w:val="32"/>
              </w:rPr>
              <w:t>28</w:t>
            </w:r>
            <w:r>
              <w:rPr>
                <w:rFonts w:hint="eastAsia" w:ascii="仿宋" w:hAnsi="仿宋" w:eastAsia="仿宋" w:cs="仿宋_GB2312"/>
                <w:sz w:val="32"/>
                <w:szCs w:val="32"/>
              </w:rPr>
              <w:t>日-</w:t>
            </w:r>
            <w:r>
              <w:rPr>
                <w:rFonts w:ascii="仿宋" w:hAnsi="仿宋" w:eastAsia="仿宋" w:cs="仿宋_GB2312"/>
                <w:sz w:val="32"/>
                <w:szCs w:val="32"/>
              </w:rPr>
              <w:t>30</w:t>
            </w:r>
            <w:r>
              <w:rPr>
                <w:rFonts w:hint="eastAsia" w:ascii="仿宋" w:hAnsi="仿宋" w:eastAsia="仿宋" w:cs="仿宋_GB2312"/>
                <w:sz w:val="32"/>
                <w:szCs w:val="32"/>
              </w:rPr>
              <w:t>日</w:t>
            </w:r>
          </w:p>
        </w:tc>
        <w:tc>
          <w:tcPr>
            <w:tcW w:w="1701" w:type="dxa"/>
            <w:tcBorders>
              <w:top w:val="single" w:color="000000" w:sz="6" w:space="0"/>
              <w:left w:val="single" w:color="000000" w:sz="6" w:space="0"/>
              <w:bottom w:val="single" w:color="000000" w:sz="6" w:space="0"/>
              <w:right w:val="single" w:color="000000" w:sz="6" w:space="0"/>
            </w:tcBorders>
          </w:tcPr>
          <w:p>
            <w:pPr>
              <w:spacing w:line="360" w:lineRule="auto"/>
              <w:jc w:val="center"/>
              <w:rPr>
                <w:rFonts w:ascii="仿宋" w:hAnsi="仿宋" w:eastAsia="仿宋" w:cs="仿宋_GB2312"/>
                <w:sz w:val="32"/>
                <w:szCs w:val="32"/>
              </w:rPr>
            </w:pPr>
            <w:r>
              <w:rPr>
                <w:rFonts w:ascii="仿宋" w:hAnsi="仿宋" w:eastAsia="仿宋" w:cs="仿宋_GB2312"/>
                <w:sz w:val="32"/>
                <w:szCs w:val="32"/>
              </w:rPr>
              <w:t>10</w:t>
            </w:r>
            <w:r>
              <w:rPr>
                <w:rFonts w:hint="eastAsia" w:ascii="仿宋" w:hAnsi="仿宋" w:eastAsia="仿宋" w:cs="仿宋_GB2312"/>
                <w:sz w:val="32"/>
                <w:szCs w:val="32"/>
              </w:rPr>
              <w:t>月</w:t>
            </w:r>
            <w:r>
              <w:rPr>
                <w:rFonts w:ascii="仿宋" w:hAnsi="仿宋" w:eastAsia="仿宋" w:cs="仿宋_GB2312"/>
                <w:sz w:val="32"/>
                <w:szCs w:val="32"/>
              </w:rPr>
              <w:t>31</w:t>
            </w:r>
            <w:r>
              <w:rPr>
                <w:rFonts w:hint="eastAsia" w:ascii="仿宋" w:hAnsi="仿宋" w:eastAsia="仿宋" w:cs="仿宋_GB2312"/>
                <w:sz w:val="32"/>
                <w:szCs w:val="32"/>
              </w:rPr>
              <w:t>日</w:t>
            </w:r>
          </w:p>
        </w:tc>
        <w:tc>
          <w:tcPr>
            <w:tcW w:w="1068" w:type="dxa"/>
            <w:tcBorders>
              <w:top w:val="single" w:color="000000" w:sz="6" w:space="0"/>
              <w:left w:val="single" w:color="000000" w:sz="6" w:space="0"/>
              <w:bottom w:val="single" w:color="000000" w:sz="6" w:space="0"/>
              <w:right w:val="single" w:color="000000" w:sz="6" w:space="0"/>
            </w:tcBorders>
          </w:tcPr>
          <w:p>
            <w:pPr>
              <w:spacing w:line="360" w:lineRule="auto"/>
              <w:jc w:val="center"/>
              <w:rPr>
                <w:rFonts w:ascii="仿宋" w:hAnsi="仿宋" w:eastAsia="仿宋" w:cs="仿宋_GB2312"/>
                <w:sz w:val="32"/>
                <w:szCs w:val="32"/>
              </w:rPr>
            </w:pPr>
            <w:r>
              <w:rPr>
                <w:rFonts w:hint="eastAsia" w:ascii="仿宋" w:hAnsi="仿宋" w:eastAsia="仿宋" w:cs="仿宋_GB2312"/>
                <w:sz w:val="32"/>
                <w:szCs w:val="32"/>
              </w:rPr>
              <w:t>北京</w:t>
            </w:r>
          </w:p>
        </w:tc>
      </w:tr>
    </w:tbl>
    <w:p>
      <w:pPr>
        <w:pStyle w:val="7"/>
        <w:widowControl/>
        <w:spacing w:line="360" w:lineRule="atLeast"/>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提示：培训班结束时间以开课通知或课程安排表为准。</w:t>
      </w:r>
    </w:p>
    <w:p>
      <w:pPr>
        <w:spacing w:line="360" w:lineRule="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七、结业及考核</w:t>
      </w:r>
    </w:p>
    <w:p>
      <w:pPr>
        <w:pStyle w:val="7"/>
        <w:widowControl/>
        <w:spacing w:line="360" w:lineRule="atLeas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完成全部课程学习后，获得由北京国家会计学院颁发的电子版结业证书。</w:t>
      </w:r>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八、收费标准及缴费方式</w:t>
      </w:r>
    </w:p>
    <w:p>
      <w:pPr>
        <w:spacing w:line="360" w:lineRule="auto"/>
        <w:ind w:firstLine="640" w:firstLineChars="200"/>
        <w:rPr>
          <w:rFonts w:ascii="仿宋_GB2312" w:hAnsi="仿宋_GB2312" w:eastAsia="仿宋_GB2312" w:cs="仿宋_GB2312"/>
          <w:sz w:val="32"/>
          <w:szCs w:val="32"/>
        </w:rPr>
      </w:pPr>
      <w:r>
        <w:rPr>
          <w:rFonts w:ascii="华文仿宋" w:hAnsi="华文仿宋" w:eastAsia="华文仿宋" w:cs="华文仿宋"/>
          <w:sz w:val="32"/>
          <w:szCs w:val="32"/>
        </w:rPr>
        <w:t>1.收费标准</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培训费：</w:t>
      </w:r>
      <w:r>
        <w:rPr>
          <w:rFonts w:ascii="仿宋_GB2312" w:hAnsi="仿宋_GB2312" w:eastAsia="仿宋_GB2312" w:cs="仿宋_GB2312"/>
          <w:sz w:val="32"/>
          <w:szCs w:val="32"/>
        </w:rPr>
        <w:t>60</w:t>
      </w:r>
      <w:r>
        <w:rPr>
          <w:rFonts w:hint="eastAsia" w:ascii="仿宋_GB2312" w:hAnsi="仿宋_GB2312" w:eastAsia="仿宋_GB2312" w:cs="仿宋_GB2312"/>
          <w:sz w:val="32"/>
          <w:szCs w:val="32"/>
        </w:rPr>
        <w:t>00元/人</w:t>
      </w:r>
      <w:r>
        <w:rPr>
          <w:rFonts w:ascii="华文仿宋" w:hAnsi="华文仿宋" w:eastAsia="华文仿宋" w:cs="华文仿宋"/>
          <w:sz w:val="32"/>
          <w:szCs w:val="32"/>
        </w:rPr>
        <w:t>（不含食宿）</w:t>
      </w:r>
      <w:r>
        <w:rPr>
          <w:rFonts w:hint="eastAsia" w:ascii="仿宋_GB2312" w:hAnsi="仿宋_GB2312" w:eastAsia="仿宋_GB2312" w:cs="仿宋_GB2312"/>
          <w:sz w:val="32"/>
          <w:szCs w:val="32"/>
        </w:rPr>
        <w:t>。</w:t>
      </w:r>
    </w:p>
    <w:p>
      <w:pPr>
        <w:pStyle w:val="15"/>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ind w:firstLine="640" w:firstLineChars="200"/>
        <w:jc w:val="both"/>
        <w:rPr>
          <w:rFonts w:hint="default" w:ascii="华文仿宋" w:hAnsi="华文仿宋" w:eastAsia="华文仿宋" w:cs="华文仿宋"/>
          <w:color w:val="auto"/>
          <w:sz w:val="32"/>
          <w:szCs w:val="32"/>
          <w:lang w:val="en-US"/>
        </w:rPr>
      </w:pPr>
      <w:r>
        <w:rPr>
          <w:rFonts w:ascii="仿宋_GB2312" w:hAnsi="仿宋_GB2312" w:eastAsia="仿宋_GB2312" w:cs="仿宋_GB2312"/>
          <w:color w:val="auto"/>
          <w:kern w:val="2"/>
          <w:sz w:val="32"/>
          <w:szCs w:val="32"/>
          <w:lang w:val="en-US"/>
        </w:rPr>
        <w:t>食宿费：在北京国家会计学院举办的培训可提供食宿。就餐为自助餐，收费标准为120元/人天。住宿条件为单人标准间，收费标准普通间340元/人天，商务间550元/人天，新商务间650元/人天（住宿费用含游泳、健身、净娱乐、宽带上网等费用），在京外举办的培训由当地酒店提供食宿，统一安排，费用自理。</w:t>
      </w:r>
    </w:p>
    <w:p>
      <w:pPr>
        <w:pStyle w:val="15"/>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ind w:firstLine="640" w:firstLineChars="200"/>
        <w:jc w:val="both"/>
        <w:rPr>
          <w:rFonts w:hint="default" w:ascii="华文仿宋" w:hAnsi="华文仿宋" w:eastAsia="华文仿宋" w:cs="华文仿宋"/>
          <w:color w:val="auto"/>
          <w:sz w:val="32"/>
          <w:szCs w:val="32"/>
          <w:lang w:val="en-US"/>
        </w:rPr>
      </w:pPr>
      <w:r>
        <w:rPr>
          <w:rFonts w:ascii="华文仿宋" w:hAnsi="华文仿宋" w:eastAsia="华文仿宋" w:cs="华文仿宋"/>
          <w:color w:val="auto"/>
          <w:sz w:val="32"/>
          <w:szCs w:val="32"/>
          <w:lang w:val="en-US"/>
        </w:rPr>
        <w:t>2.缴费方式</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（1）报到时现场刷卡或缴纳现金；</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（2）银行汇款（培训费可汇款，食宿费需当场缴纳现金）：</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单位名称：北京国家会计学院</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开户行：中国建设银行北京天竺支行（201）</w:t>
      </w:r>
    </w:p>
    <w:p>
      <w:pPr>
        <w:pStyle w:val="1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ind w:firstLine="640" w:firstLineChars="200"/>
        <w:jc w:val="both"/>
        <w:rPr>
          <w:rFonts w:hint="default" w:ascii="华文仿宋" w:hAnsi="华文仿宋" w:eastAsia="华文仿宋" w:cs="华文仿宋"/>
          <w:color w:val="auto"/>
          <w:sz w:val="32"/>
          <w:szCs w:val="32"/>
        </w:rPr>
      </w:pPr>
      <w:r>
        <w:rPr>
          <w:rFonts w:ascii="仿宋" w:hAnsi="仿宋" w:eastAsia="仿宋" w:cs="仿宋_GB2312"/>
          <w:sz w:val="32"/>
          <w:szCs w:val="32"/>
        </w:rPr>
        <w:t>账号：1100 1020 1000 5603 0985</w:t>
      </w:r>
    </w:p>
    <w:p>
      <w:pPr>
        <w:pStyle w:val="15"/>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ind w:firstLine="641" w:firstLineChars="200"/>
        <w:jc w:val="both"/>
        <w:rPr>
          <w:rFonts w:hint="default" w:ascii="仿宋_GB2312" w:hAnsi="仿宋_GB2312" w:eastAsia="仿宋_GB2312" w:cs="仿宋_GB2312"/>
          <w:color w:val="auto"/>
          <w:kern w:val="2"/>
          <w:sz w:val="32"/>
          <w:szCs w:val="32"/>
          <w:lang w:val="en-US"/>
        </w:rPr>
      </w:pPr>
      <w:r>
        <w:rPr>
          <w:rFonts w:hint="default" w:ascii="华文仿宋" w:hAnsi="华文仿宋" w:eastAsia="华文仿宋" w:cs="华文仿宋"/>
          <w:b/>
          <w:bCs/>
          <w:color w:val="auto"/>
          <w:sz w:val="32"/>
          <w:szCs w:val="32"/>
          <w:lang w:val="en-US"/>
        </w:rPr>
        <w:t>特别提示：</w:t>
      </w:r>
      <w:r>
        <w:rPr>
          <w:rFonts w:ascii="华文仿宋" w:hAnsi="华文仿宋" w:eastAsia="华文仿宋" w:cs="华文仿宋"/>
          <w:color w:val="auto"/>
          <w:sz w:val="32"/>
          <w:szCs w:val="32"/>
          <w:lang w:val="en-US"/>
        </w:rPr>
        <w:t>培训班如确定开班，学院将在开班前一周给学员发送《开课通知》。</w:t>
      </w:r>
      <w:r>
        <w:rPr>
          <w:rFonts w:hint="default" w:ascii="华文仿宋" w:hAnsi="华文仿宋" w:eastAsia="华文仿宋" w:cs="华文仿宋"/>
          <w:color w:val="auto"/>
          <w:sz w:val="32"/>
          <w:szCs w:val="32"/>
          <w:lang w:val="en-US"/>
        </w:rPr>
        <w:t>如因报名人数</w:t>
      </w:r>
      <w:r>
        <w:rPr>
          <w:rFonts w:ascii="华文仿宋" w:hAnsi="华文仿宋" w:eastAsia="华文仿宋" w:cs="华文仿宋"/>
          <w:color w:val="auto"/>
          <w:sz w:val="32"/>
          <w:szCs w:val="32"/>
          <w:lang w:val="en-US"/>
        </w:rPr>
        <w:t>低于</w:t>
      </w:r>
      <w:r>
        <w:rPr>
          <w:rFonts w:hint="default" w:ascii="华文仿宋" w:hAnsi="华文仿宋" w:eastAsia="华文仿宋" w:cs="华文仿宋"/>
          <w:color w:val="auto"/>
          <w:sz w:val="32"/>
          <w:szCs w:val="32"/>
          <w:lang w:val="en-US"/>
        </w:rPr>
        <w:t>开班人数要求，</w:t>
      </w:r>
      <w:r>
        <w:rPr>
          <w:rFonts w:ascii="华文仿宋" w:hAnsi="华文仿宋" w:eastAsia="华文仿宋" w:cs="华文仿宋"/>
          <w:color w:val="auto"/>
          <w:sz w:val="32"/>
          <w:szCs w:val="32"/>
          <w:lang w:val="en-US"/>
        </w:rPr>
        <w:t>学院</w:t>
      </w:r>
      <w:r>
        <w:rPr>
          <w:rFonts w:hint="default" w:ascii="华文仿宋" w:hAnsi="华文仿宋" w:eastAsia="华文仿宋" w:cs="华文仿宋"/>
          <w:color w:val="auto"/>
          <w:sz w:val="32"/>
          <w:szCs w:val="32"/>
          <w:lang w:val="en-US"/>
        </w:rPr>
        <w:t>有权取消该班</w:t>
      </w:r>
      <w:r>
        <w:rPr>
          <w:rFonts w:ascii="华文仿宋" w:hAnsi="华文仿宋" w:eastAsia="华文仿宋" w:cs="华文仿宋"/>
          <w:color w:val="auto"/>
          <w:sz w:val="32"/>
          <w:szCs w:val="32"/>
          <w:lang w:val="en-US"/>
        </w:rPr>
        <w:t>，</w:t>
      </w:r>
      <w:r>
        <w:rPr>
          <w:rFonts w:hint="default" w:ascii="华文仿宋" w:hAnsi="华文仿宋" w:eastAsia="华文仿宋" w:cs="华文仿宋"/>
          <w:color w:val="auto"/>
          <w:sz w:val="32"/>
          <w:szCs w:val="32"/>
          <w:lang w:val="en-US"/>
        </w:rPr>
        <w:t>对学员已缴纳的费用予以全额退还，但不承担任何赔偿。对任何因信赖该班可以如期举行而导致的任何直接、间接损失，包括但不限于差旅费损失、误工费损失等，</w:t>
      </w:r>
      <w:r>
        <w:rPr>
          <w:rFonts w:ascii="华文仿宋" w:hAnsi="华文仿宋" w:eastAsia="华文仿宋" w:cs="华文仿宋"/>
          <w:color w:val="auto"/>
          <w:sz w:val="32"/>
          <w:szCs w:val="32"/>
          <w:lang w:val="en-US"/>
        </w:rPr>
        <w:t>学院</w:t>
      </w:r>
      <w:r>
        <w:rPr>
          <w:rFonts w:hint="default" w:ascii="华文仿宋" w:hAnsi="华文仿宋" w:eastAsia="华文仿宋" w:cs="华文仿宋"/>
          <w:color w:val="auto"/>
          <w:sz w:val="32"/>
          <w:szCs w:val="32"/>
          <w:lang w:val="en-US"/>
        </w:rPr>
        <w:t>均不承担法律责任。</w:t>
      </w:r>
    </w:p>
    <w:p>
      <w:pPr>
        <w:spacing w:line="360" w:lineRule="auto"/>
        <w:rPr>
          <w:rFonts w:ascii="仿宋" w:hAnsi="仿宋" w:eastAsia="仿宋" w:cs="仿宋_GB2312"/>
          <w:b/>
          <w:bCs/>
          <w:sz w:val="32"/>
          <w:szCs w:val="32"/>
        </w:rPr>
      </w:pPr>
      <w:r>
        <w:rPr>
          <w:rFonts w:hint="eastAsia" w:ascii="仿宋" w:hAnsi="仿宋" w:eastAsia="仿宋" w:cs="仿宋_GB2312"/>
          <w:b/>
          <w:bCs/>
          <w:sz w:val="32"/>
          <w:szCs w:val="32"/>
        </w:rPr>
        <w:t>九、报名方式</w:t>
      </w:r>
    </w:p>
    <w:p>
      <w:pPr>
        <w:adjustRightInd w:val="0"/>
        <w:snapToGrid w:val="0"/>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请将报名回执表填写完整后发邮件，我们会在开班前一周发报到通知。</w:t>
      </w:r>
    </w:p>
    <w:p>
      <w:pPr>
        <w:adjustRightInd w:val="0"/>
        <w:snapToGrid w:val="0"/>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报名联系人：李老师</w:t>
      </w:r>
    </w:p>
    <w:p>
      <w:pPr>
        <w:adjustRightInd w:val="0"/>
        <w:snapToGrid w:val="0"/>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报名电话：15652426725</w:t>
      </w:r>
    </w:p>
    <w:p>
      <w:pPr>
        <w:adjustRightInd w:val="0"/>
        <w:snapToGrid w:val="0"/>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报名邮箱：accountant_cfo@163.com</w:t>
      </w:r>
    </w:p>
    <w:p>
      <w:pPr>
        <w:widowControl/>
        <w:shd w:val="clear" w:color="auto" w:fill="FFFFFF"/>
        <w:spacing w:line="360" w:lineRule="auto"/>
        <w:rPr>
          <w:rFonts w:ascii="仿宋" w:hAnsi="仿宋" w:eastAsia="仿宋" w:cs="华文仿宋"/>
          <w:b/>
          <w:bCs/>
          <w:kern w:val="0"/>
          <w:sz w:val="32"/>
          <w:szCs w:val="32"/>
        </w:rPr>
      </w:pPr>
      <w:r>
        <w:rPr>
          <w:rFonts w:hint="eastAsia" w:ascii="仿宋" w:hAnsi="仿宋" w:eastAsia="仿宋" w:cs="华文仿宋"/>
          <w:b/>
          <w:bCs/>
          <w:kern w:val="0"/>
          <w:sz w:val="32"/>
          <w:szCs w:val="32"/>
        </w:rPr>
        <w:t>十、联系我们</w:t>
      </w:r>
    </w:p>
    <w:p>
      <w:pPr>
        <w:widowControl/>
        <w:shd w:val="clear" w:color="auto" w:fill="FFFFFF"/>
        <w:spacing w:line="360" w:lineRule="auto"/>
        <w:ind w:firstLine="660" w:firstLineChars="200"/>
        <w:rPr>
          <w:rFonts w:ascii="仿宋" w:hAnsi="仿宋" w:eastAsia="仿宋" w:cs="华文仿宋"/>
          <w:spacing w:val="5"/>
          <w:kern w:val="0"/>
          <w:sz w:val="32"/>
          <w:szCs w:val="32"/>
        </w:rPr>
      </w:pPr>
      <w:r>
        <w:rPr>
          <w:rFonts w:hint="eastAsia" w:ascii="仿宋" w:hAnsi="仿宋" w:eastAsia="仿宋" w:cs="华文仿宋"/>
          <w:spacing w:val="5"/>
          <w:kern w:val="0"/>
          <w:sz w:val="32"/>
          <w:szCs w:val="32"/>
        </w:rPr>
        <w:t>联系人：武老师</w:t>
      </w:r>
    </w:p>
    <w:p>
      <w:pPr>
        <w:widowControl/>
        <w:shd w:val="clear" w:color="auto" w:fill="FFFFFF"/>
        <w:spacing w:line="360" w:lineRule="auto"/>
        <w:ind w:firstLine="660" w:firstLineChars="200"/>
        <w:rPr>
          <w:rFonts w:ascii="仿宋" w:hAnsi="仿宋" w:eastAsia="仿宋" w:cs="华文仿宋"/>
          <w:spacing w:val="5"/>
          <w:kern w:val="0"/>
          <w:sz w:val="32"/>
          <w:szCs w:val="32"/>
        </w:rPr>
      </w:pPr>
      <w:r>
        <w:rPr>
          <w:rFonts w:hint="eastAsia" w:ascii="仿宋" w:hAnsi="仿宋" w:eastAsia="仿宋" w:cs="华文仿宋"/>
          <w:spacing w:val="5"/>
          <w:kern w:val="0"/>
          <w:sz w:val="32"/>
          <w:szCs w:val="32"/>
        </w:rPr>
        <w:t>电话：010-6450</w:t>
      </w:r>
      <w:r>
        <w:rPr>
          <w:rFonts w:ascii="仿宋" w:hAnsi="仿宋" w:eastAsia="仿宋" w:cs="华文仿宋"/>
          <w:spacing w:val="5"/>
          <w:kern w:val="0"/>
          <w:sz w:val="32"/>
          <w:szCs w:val="32"/>
        </w:rPr>
        <w:t>5166</w:t>
      </w:r>
    </w:p>
    <w:p>
      <w:pPr>
        <w:widowControl/>
        <w:shd w:val="clear" w:color="auto" w:fill="FFFFFF"/>
        <w:spacing w:line="360" w:lineRule="auto"/>
        <w:ind w:firstLine="675"/>
        <w:rPr>
          <w:rFonts w:ascii="仿宋" w:hAnsi="仿宋" w:eastAsia="仿宋" w:cs="华文仿宋"/>
          <w:color w:val="0000FF"/>
          <w:spacing w:val="5"/>
          <w:kern w:val="0"/>
          <w:sz w:val="32"/>
          <w:szCs w:val="32"/>
          <w:u w:val="single"/>
        </w:rPr>
      </w:pPr>
      <w:r>
        <w:rPr>
          <w:rFonts w:hint="eastAsia" w:ascii="仿宋" w:hAnsi="仿宋" w:eastAsia="仿宋" w:cs="华文仿宋"/>
          <w:spacing w:val="5"/>
          <w:kern w:val="0"/>
          <w:sz w:val="32"/>
          <w:szCs w:val="32"/>
        </w:rPr>
        <w:t>邮箱：</w:t>
      </w:r>
      <w:r>
        <w:fldChar w:fldCharType="begin"/>
      </w:r>
      <w:r>
        <w:instrText xml:space="preserve"> HYPERLINK "mailto:wuty@mail.nai.edu.cn" </w:instrText>
      </w:r>
      <w:r>
        <w:fldChar w:fldCharType="separate"/>
      </w:r>
      <w:r>
        <w:rPr>
          <w:rFonts w:ascii="仿宋" w:hAnsi="仿宋" w:eastAsia="仿宋" w:cs="华文仿宋"/>
          <w:color w:val="0000FF"/>
          <w:spacing w:val="5"/>
          <w:kern w:val="0"/>
          <w:sz w:val="32"/>
          <w:szCs w:val="32"/>
          <w:u w:val="single"/>
        </w:rPr>
        <w:t>wuty</w:t>
      </w:r>
      <w:r>
        <w:rPr>
          <w:rFonts w:hint="eastAsia" w:ascii="仿宋" w:hAnsi="仿宋" w:eastAsia="仿宋" w:cs="华文仿宋"/>
          <w:color w:val="0000FF"/>
          <w:spacing w:val="5"/>
          <w:kern w:val="0"/>
          <w:sz w:val="32"/>
          <w:szCs w:val="32"/>
          <w:u w:val="single"/>
        </w:rPr>
        <w:t>@</w:t>
      </w:r>
      <w:r>
        <w:rPr>
          <w:rFonts w:ascii="仿宋" w:hAnsi="仿宋" w:eastAsia="仿宋" w:cs="华文仿宋"/>
          <w:color w:val="0000FF"/>
          <w:spacing w:val="5"/>
          <w:kern w:val="0"/>
          <w:sz w:val="32"/>
          <w:szCs w:val="32"/>
          <w:u w:val="single"/>
        </w:rPr>
        <w:t>mail.</w:t>
      </w:r>
      <w:r>
        <w:rPr>
          <w:rFonts w:hint="eastAsia" w:ascii="仿宋" w:hAnsi="仿宋" w:eastAsia="仿宋" w:cs="华文仿宋"/>
          <w:color w:val="0000FF"/>
          <w:spacing w:val="5"/>
          <w:kern w:val="0"/>
          <w:sz w:val="32"/>
          <w:szCs w:val="32"/>
          <w:u w:val="single"/>
        </w:rPr>
        <w:t>nai.</w:t>
      </w:r>
      <w:r>
        <w:rPr>
          <w:rFonts w:ascii="仿宋" w:hAnsi="仿宋" w:eastAsia="仿宋" w:cs="华文仿宋"/>
          <w:color w:val="0000FF"/>
          <w:spacing w:val="5"/>
          <w:kern w:val="0"/>
          <w:sz w:val="32"/>
          <w:szCs w:val="32"/>
          <w:u w:val="single"/>
        </w:rPr>
        <w:t>edu.cn</w:t>
      </w:r>
      <w:r>
        <w:rPr>
          <w:rFonts w:ascii="仿宋" w:hAnsi="仿宋" w:eastAsia="仿宋" w:cs="华文仿宋"/>
          <w:color w:val="0000FF"/>
          <w:spacing w:val="5"/>
          <w:kern w:val="0"/>
          <w:sz w:val="32"/>
          <w:szCs w:val="32"/>
          <w:u w:val="single"/>
        </w:rPr>
        <w:fldChar w:fldCharType="end"/>
      </w:r>
    </w:p>
    <w:p>
      <w:pPr>
        <w:widowControl/>
        <w:shd w:val="clear" w:color="auto" w:fill="FFFFFF"/>
        <w:spacing w:line="360" w:lineRule="auto"/>
        <w:ind w:firstLine="675"/>
        <w:rPr>
          <w:rFonts w:ascii="仿宋" w:hAnsi="仿宋" w:eastAsia="仿宋" w:cs="华文仿宋"/>
          <w:color w:val="0000FF"/>
          <w:spacing w:val="5"/>
          <w:kern w:val="0"/>
          <w:sz w:val="32"/>
          <w:szCs w:val="32"/>
          <w:u w:val="single"/>
        </w:rPr>
      </w:pPr>
    </w:p>
    <w:p>
      <w:pPr>
        <w:widowControl/>
        <w:shd w:val="clear" w:color="auto" w:fill="FFFFFF"/>
        <w:spacing w:line="360" w:lineRule="auto"/>
        <w:ind w:firstLine="675"/>
        <w:rPr>
          <w:rFonts w:hint="eastAsia" w:ascii="仿宋" w:hAnsi="仿宋" w:eastAsia="仿宋" w:cs="华文仿宋"/>
          <w:color w:val="0000FF"/>
          <w:spacing w:val="5"/>
          <w:kern w:val="0"/>
          <w:sz w:val="32"/>
          <w:szCs w:val="32"/>
          <w:u w:val="single"/>
        </w:rPr>
      </w:pPr>
    </w:p>
    <w:p>
      <w:pPr>
        <w:widowControl/>
        <w:shd w:val="clear" w:color="auto" w:fill="FFFFFF"/>
        <w:spacing w:line="360" w:lineRule="auto"/>
        <w:ind w:firstLine="675"/>
        <w:jc w:val="right"/>
        <w:rPr>
          <w:rFonts w:ascii="仿宋" w:hAnsi="仿宋" w:eastAsia="仿宋" w:cs="华文仿宋"/>
          <w:spacing w:val="5"/>
          <w:kern w:val="0"/>
          <w:sz w:val="32"/>
          <w:szCs w:val="32"/>
        </w:rPr>
      </w:pPr>
      <w:bookmarkStart w:id="0" w:name="_GoBack"/>
      <w:bookmarkEnd w:id="0"/>
      <w:r>
        <w:rPr>
          <w:rFonts w:hint="eastAsia" w:ascii="仿宋" w:hAnsi="仿宋" w:eastAsia="仿宋" w:cs="华文仿宋"/>
          <w:spacing w:val="5"/>
          <w:kern w:val="0"/>
          <w:sz w:val="32"/>
          <w:szCs w:val="32"/>
        </w:rPr>
        <w:t>北京国家会计学院</w:t>
      </w:r>
      <w:r>
        <w:rPr>
          <w:rFonts w:ascii="仿宋" w:hAnsi="仿宋" w:eastAsia="仿宋" w:cs="华文仿宋"/>
          <w:spacing w:val="5"/>
          <w:kern w:val="0"/>
          <w:sz w:val="32"/>
          <w:szCs w:val="32"/>
        </w:rPr>
        <w:t>教务部</w:t>
      </w:r>
    </w:p>
    <w:p>
      <w:pPr>
        <w:widowControl/>
        <w:shd w:val="clear" w:color="auto" w:fill="FFFFFF"/>
        <w:spacing w:line="360" w:lineRule="auto"/>
        <w:ind w:firstLine="675"/>
        <w:jc w:val="right"/>
        <w:rPr>
          <w:rFonts w:hint="eastAsia" w:ascii="仿宋_GB2312" w:eastAsia="仿宋_GB2312"/>
          <w:sz w:val="28"/>
          <w:szCs w:val="28"/>
        </w:rPr>
      </w:pPr>
      <w:r>
        <w:rPr>
          <w:rFonts w:hint="eastAsia" w:ascii="仿宋" w:hAnsi="仿宋" w:eastAsia="仿宋" w:cs="华文仿宋"/>
          <w:spacing w:val="5"/>
          <w:kern w:val="0"/>
          <w:sz w:val="32"/>
          <w:szCs w:val="32"/>
        </w:rPr>
        <w:t>2024年</w:t>
      </w:r>
      <w:r>
        <w:rPr>
          <w:rFonts w:hint="eastAsia" w:ascii="仿宋" w:hAnsi="仿宋" w:eastAsia="仿宋" w:cs="华文仿宋"/>
          <w:spacing w:val="5"/>
          <w:kern w:val="0"/>
          <w:sz w:val="32"/>
          <w:szCs w:val="32"/>
          <w:lang w:val="en-US" w:eastAsia="zh-CN"/>
        </w:rPr>
        <w:t>4</w:t>
      </w:r>
      <w:r>
        <w:rPr>
          <w:rFonts w:hint="eastAsia" w:ascii="仿宋" w:hAnsi="仿宋" w:eastAsia="仿宋" w:cs="华文仿宋"/>
          <w:spacing w:val="5"/>
          <w:kern w:val="0"/>
          <w:sz w:val="32"/>
          <w:szCs w:val="32"/>
        </w:rPr>
        <w:t>月</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Unicode MS">
    <w:altName w:val="宋体"/>
    <w:panose1 w:val="020B0604020202020204"/>
    <w:charset w:val="86"/>
    <w:family w:val="swiss"/>
    <w:pitch w:val="default"/>
    <w:sig w:usb0="00000000" w:usb1="00000000" w:usb2="0000003F" w:usb3="00000000" w:csb0="603F01FF" w:csb1="FFFF0000"/>
  </w:font>
  <w:font w:name="Helvetica Neue">
    <w:altName w:val="Times New Roman"/>
    <w:panose1 w:val="00000000000000000000"/>
    <w:charset w:val="00"/>
    <w:family w:val="auto"/>
    <w:pitch w:val="default"/>
    <w:sig w:usb0="00000000" w:usb1="00000000" w:usb2="00000010" w:usb3="00000000" w:csb0="0000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7</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3D5E01"/>
    <w:multiLevelType w:val="singleLevel"/>
    <w:tmpl w:val="B63D5E01"/>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c3M2Y5NzIzMDFlZjAyY2Q4Njk5ODkyYjFjNzBiNTQifQ=="/>
  </w:docVars>
  <w:rsids>
    <w:rsidRoot w:val="004E1427"/>
    <w:rsid w:val="0009161B"/>
    <w:rsid w:val="000C0C4D"/>
    <w:rsid w:val="00117A3D"/>
    <w:rsid w:val="00133C81"/>
    <w:rsid w:val="00185CCE"/>
    <w:rsid w:val="001A72C9"/>
    <w:rsid w:val="001E0113"/>
    <w:rsid w:val="001E416A"/>
    <w:rsid w:val="00204469"/>
    <w:rsid w:val="002D7B00"/>
    <w:rsid w:val="002F5341"/>
    <w:rsid w:val="00301DBE"/>
    <w:rsid w:val="0033719A"/>
    <w:rsid w:val="003D1534"/>
    <w:rsid w:val="003F6630"/>
    <w:rsid w:val="004D4083"/>
    <w:rsid w:val="004D4143"/>
    <w:rsid w:val="004E1427"/>
    <w:rsid w:val="005221FC"/>
    <w:rsid w:val="00560FA3"/>
    <w:rsid w:val="005659FB"/>
    <w:rsid w:val="00622D78"/>
    <w:rsid w:val="00656F8C"/>
    <w:rsid w:val="00683A22"/>
    <w:rsid w:val="007B227A"/>
    <w:rsid w:val="00823A78"/>
    <w:rsid w:val="00831AAD"/>
    <w:rsid w:val="0099788F"/>
    <w:rsid w:val="009F2183"/>
    <w:rsid w:val="00AA05AC"/>
    <w:rsid w:val="00B802D3"/>
    <w:rsid w:val="00C24379"/>
    <w:rsid w:val="00CD00A1"/>
    <w:rsid w:val="00D66C28"/>
    <w:rsid w:val="00E054D1"/>
    <w:rsid w:val="00E34516"/>
    <w:rsid w:val="00E511C7"/>
    <w:rsid w:val="00E81CEF"/>
    <w:rsid w:val="00EB333A"/>
    <w:rsid w:val="00ED2404"/>
    <w:rsid w:val="00EF1621"/>
    <w:rsid w:val="00F0787A"/>
    <w:rsid w:val="00FA5B6E"/>
    <w:rsid w:val="00FB5FD5"/>
    <w:rsid w:val="043A39AD"/>
    <w:rsid w:val="05D84E57"/>
    <w:rsid w:val="08211367"/>
    <w:rsid w:val="08577B0B"/>
    <w:rsid w:val="0FA82915"/>
    <w:rsid w:val="10491C47"/>
    <w:rsid w:val="1407440F"/>
    <w:rsid w:val="14956927"/>
    <w:rsid w:val="1B5A1A13"/>
    <w:rsid w:val="1D0D0336"/>
    <w:rsid w:val="1FDD48BF"/>
    <w:rsid w:val="1FE644A3"/>
    <w:rsid w:val="21F91F85"/>
    <w:rsid w:val="25301F15"/>
    <w:rsid w:val="27786A6D"/>
    <w:rsid w:val="286914E7"/>
    <w:rsid w:val="2F08278D"/>
    <w:rsid w:val="3224724F"/>
    <w:rsid w:val="394F6A23"/>
    <w:rsid w:val="3B82163F"/>
    <w:rsid w:val="3C3521DB"/>
    <w:rsid w:val="3F345DBE"/>
    <w:rsid w:val="41D45489"/>
    <w:rsid w:val="448C0378"/>
    <w:rsid w:val="48D32A07"/>
    <w:rsid w:val="4935405F"/>
    <w:rsid w:val="4ADE5331"/>
    <w:rsid w:val="535667E4"/>
    <w:rsid w:val="54AE1381"/>
    <w:rsid w:val="55303F06"/>
    <w:rsid w:val="57FC449D"/>
    <w:rsid w:val="58536800"/>
    <w:rsid w:val="59832359"/>
    <w:rsid w:val="59DD669E"/>
    <w:rsid w:val="5AAB7C17"/>
    <w:rsid w:val="5CB95C0D"/>
    <w:rsid w:val="5CE95D7D"/>
    <w:rsid w:val="5E043D05"/>
    <w:rsid w:val="631D7F71"/>
    <w:rsid w:val="646E13A1"/>
    <w:rsid w:val="648B5E18"/>
    <w:rsid w:val="65714F95"/>
    <w:rsid w:val="67E965FB"/>
    <w:rsid w:val="6A032F2D"/>
    <w:rsid w:val="708F178F"/>
    <w:rsid w:val="70D53C34"/>
    <w:rsid w:val="714E4625"/>
    <w:rsid w:val="71FF2341"/>
    <w:rsid w:val="76F8372F"/>
    <w:rsid w:val="782623D6"/>
    <w:rsid w:val="7A4D0E8F"/>
    <w:rsid w:val="7D4C42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eastAsia="宋体" w:cs="Times New Roman"/>
      <w:b/>
      <w:bCs/>
      <w:kern w:val="44"/>
      <w:sz w:val="48"/>
      <w:szCs w:val="48"/>
    </w:rPr>
  </w:style>
  <w:style w:type="paragraph" w:styleId="3">
    <w:name w:val="heading 2"/>
    <w:basedOn w:val="1"/>
    <w:next w:val="1"/>
    <w:semiHidden/>
    <w:unhideWhenUsed/>
    <w:qFormat/>
    <w:uiPriority w:val="9"/>
    <w:pPr>
      <w:spacing w:beforeAutospacing="1" w:afterAutospacing="1"/>
      <w:jc w:val="left"/>
      <w:outlineLvl w:val="1"/>
    </w:pPr>
    <w:rPr>
      <w:rFonts w:hint="eastAsia" w:ascii="宋体" w:hAnsi="宋体" w:eastAsia="宋体" w:cs="Times New Roman"/>
      <w:b/>
      <w:bCs/>
      <w:kern w:val="0"/>
      <w:sz w:val="36"/>
      <w:szCs w:val="36"/>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semiHidden/>
    <w:unhideWhenUsed/>
    <w:qFormat/>
    <w:uiPriority w:val="99"/>
    <w:pPr>
      <w:jc w:val="left"/>
    </w:p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99"/>
    <w:pPr>
      <w:tabs>
        <w:tab w:val="center" w:pos="4153"/>
        <w:tab w:val="right" w:pos="8306"/>
      </w:tabs>
      <w:snapToGrid w:val="0"/>
      <w:jc w:val="center"/>
    </w:pPr>
    <w:rPr>
      <w:sz w:val="18"/>
      <w:szCs w:val="18"/>
    </w:rPr>
  </w:style>
  <w:style w:type="paragraph" w:styleId="7">
    <w:name w:val="Normal (Web)"/>
    <w:basedOn w:val="1"/>
    <w:qFormat/>
    <w:uiPriority w:val="0"/>
    <w:pPr>
      <w:jc w:val="left"/>
    </w:pPr>
    <w:rPr>
      <w:rFonts w:cs="Times New Roman"/>
      <w:kern w:val="0"/>
      <w:sz w:val="24"/>
    </w:rPr>
  </w:style>
  <w:style w:type="character" w:styleId="10">
    <w:name w:val="Strong"/>
    <w:basedOn w:val="9"/>
    <w:qFormat/>
    <w:uiPriority w:val="22"/>
    <w:rPr>
      <w:b/>
    </w:rPr>
  </w:style>
  <w:style w:type="character" w:styleId="11">
    <w:name w:val="Emphasis"/>
    <w:basedOn w:val="9"/>
    <w:qFormat/>
    <w:uiPriority w:val="20"/>
    <w:rPr>
      <w:i/>
    </w:rPr>
  </w:style>
  <w:style w:type="character" w:styleId="12">
    <w:name w:val="Hyperlink"/>
    <w:basedOn w:val="9"/>
    <w:qFormat/>
    <w:uiPriority w:val="0"/>
    <w:rPr>
      <w:color w:val="666666"/>
      <w:u w:val="none"/>
    </w:rPr>
  </w:style>
  <w:style w:type="character" w:styleId="13">
    <w:name w:val="annotation reference"/>
    <w:basedOn w:val="9"/>
    <w:semiHidden/>
    <w:unhideWhenUsed/>
    <w:qFormat/>
    <w:uiPriority w:val="99"/>
    <w:rPr>
      <w:sz w:val="21"/>
      <w:szCs w:val="21"/>
    </w:rPr>
  </w:style>
  <w:style w:type="paragraph" w:styleId="14">
    <w:name w:val="List Paragraph"/>
    <w:basedOn w:val="1"/>
    <w:qFormat/>
    <w:uiPriority w:val="34"/>
    <w:pPr>
      <w:ind w:firstLine="420" w:firstLineChars="200"/>
    </w:pPr>
  </w:style>
  <w:style w:type="paragraph" w:customStyle="1" w:styleId="15">
    <w:name w:val="默认"/>
    <w:qFormat/>
    <w:uiPriority w:val="0"/>
    <w:pPr>
      <w:spacing w:before="160"/>
    </w:pPr>
    <w:rPr>
      <w:rFonts w:hint="eastAsia" w:ascii="Arial Unicode MS" w:hAnsi="Arial Unicode MS" w:eastAsia="Helvetica Neue" w:cs="Arial Unicode MS"/>
      <w:color w:val="000000"/>
      <w:sz w:val="24"/>
      <w:szCs w:val="24"/>
      <w:lang w:val="zh-CN" w:eastAsia="zh-CN" w:bidi="ar-SA"/>
    </w:rPr>
  </w:style>
  <w:style w:type="character" w:customStyle="1" w:styleId="16">
    <w:name w:val="页眉 字符"/>
    <w:basedOn w:val="9"/>
    <w:link w:val="6"/>
    <w:qFormat/>
    <w:uiPriority w:val="99"/>
    <w:rPr>
      <w:rFonts w:asciiTheme="minorHAnsi" w:hAnsiTheme="minorHAnsi" w:eastAsiaTheme="minorEastAsia" w:cstheme="minorBidi"/>
      <w:kern w:val="2"/>
      <w:sz w:val="18"/>
      <w:szCs w:val="18"/>
    </w:rPr>
  </w:style>
  <w:style w:type="character" w:customStyle="1" w:styleId="17">
    <w:name w:val="页脚 字符"/>
    <w:basedOn w:val="9"/>
    <w:link w:val="5"/>
    <w:qFormat/>
    <w:uiPriority w:val="99"/>
    <w:rPr>
      <w:rFonts w:asciiTheme="minorHAnsi" w:hAnsiTheme="minorHAnsi" w:eastAsiaTheme="minorEastAsia" w:cstheme="minorBidi"/>
      <w:kern w:val="2"/>
      <w:sz w:val="18"/>
      <w:szCs w:val="18"/>
    </w:rPr>
  </w:style>
  <w:style w:type="paragraph" w:customStyle="1" w:styleId="18">
    <w:name w:val="Default"/>
    <w:qFormat/>
    <w:uiPriority w:val="0"/>
    <w:pPr>
      <w:widowControl w:val="0"/>
      <w:autoSpaceDE w:val="0"/>
      <w:autoSpaceDN w:val="0"/>
      <w:adjustRightInd w:val="0"/>
    </w:pPr>
    <w:rPr>
      <w:rFonts w:ascii="黑体" w:hAnsi="黑体" w:eastAsia="宋体" w:cs="黑体"/>
      <w:color w:val="000000"/>
      <w:sz w:val="24"/>
      <w:szCs w:val="24"/>
      <w:lang w:val="en-US" w:eastAsia="zh-CN" w:bidi="ar-SA"/>
    </w:rPr>
  </w:style>
  <w:style w:type="paragraph" w:customStyle="1" w:styleId="19">
    <w:name w:val="修订1"/>
    <w:hidden/>
    <w:unhideWhenUsed/>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384</Words>
  <Characters>2191</Characters>
  <Lines>18</Lines>
  <Paragraphs>5</Paragraphs>
  <TotalTime>12</TotalTime>
  <ScaleCrop>false</ScaleCrop>
  <LinksUpToDate>false</LinksUpToDate>
  <CharactersWithSpaces>2570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2024-03-08T03:31:00Z</dcterms:created>
  <dc:creator>wutong</dc:creator>
  <cp:lastModifiedBy>李青</cp:lastModifiedBy>
  <dcterms:modified xsi:type="dcterms:W3CDTF">2024-04-14T02:37:06Z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DB43D2F54DEF4477A3CDCE41EFC2CB8C</vt:lpwstr>
  </property>
</Properties>
</file>